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51E26C6" w:rsidR="00F17F5E" w:rsidRDefault="00F17F5E" w:rsidP="00F17F5E">
      <w:pPr>
        <w:pStyle w:val="3GPPHeader"/>
        <w:spacing w:after="60"/>
      </w:pPr>
      <w:r>
        <w:t>3GPP TSG-RAN WG1 Meeting #</w:t>
      </w:r>
      <w:r w:rsidR="003331D9">
        <w:t>11</w:t>
      </w:r>
      <w:r w:rsidR="00841C4C">
        <w:t>9</w:t>
      </w:r>
      <w:r>
        <w:tab/>
      </w:r>
      <w:r w:rsidR="00E232DD" w:rsidRPr="00E232DD">
        <w:t>R1-2410308</w:t>
      </w:r>
    </w:p>
    <w:p w14:paraId="60A5317D" w14:textId="728F30B3" w:rsidR="00E90E49" w:rsidRPr="00CB5CA6" w:rsidRDefault="006071DE" w:rsidP="00357380">
      <w:pPr>
        <w:pStyle w:val="3GPPHeader"/>
      </w:pPr>
      <w:r>
        <w:t>Orlando</w:t>
      </w:r>
      <w:r w:rsidR="00953337" w:rsidRPr="00953337">
        <w:t xml:space="preserve">, </w:t>
      </w:r>
      <w:r w:rsidRPr="006071DE">
        <w:t>United States of America</w:t>
      </w:r>
      <w:r w:rsidR="00953337" w:rsidRPr="00953337">
        <w:t xml:space="preserve">, </w:t>
      </w:r>
      <w:r w:rsidRPr="006071DE">
        <w:t>November 18</w:t>
      </w:r>
      <w:r w:rsidRPr="00EB26C1">
        <w:rPr>
          <w:vertAlign w:val="superscript"/>
        </w:rPr>
        <w:t>th</w:t>
      </w:r>
      <w:r w:rsidRPr="006071DE">
        <w:t xml:space="preserve"> – 22</w:t>
      </w:r>
      <w:r w:rsidRPr="00EB26C1">
        <w:rPr>
          <w:vertAlign w:val="superscript"/>
        </w:rPr>
        <w:t>nd</w:t>
      </w:r>
      <w:r w:rsidRPr="006071DE">
        <w:t>, 2024</w:t>
      </w:r>
    </w:p>
    <w:p w14:paraId="3C6869D1" w14:textId="32BB586A"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C73D63">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B06BB76" w:rsidR="00E90E49" w:rsidRPr="00CE0424" w:rsidRDefault="003D3C45" w:rsidP="00311702">
      <w:pPr>
        <w:pStyle w:val="3GPPHeader"/>
        <w:rPr>
          <w:sz w:val="22"/>
          <w:szCs w:val="22"/>
        </w:rPr>
      </w:pPr>
      <w:r>
        <w:rPr>
          <w:sz w:val="22"/>
          <w:szCs w:val="22"/>
        </w:rPr>
        <w:t>Title:</w:t>
      </w:r>
      <w:r w:rsidR="00E90E49" w:rsidRPr="00CE0424">
        <w:rPr>
          <w:sz w:val="22"/>
          <w:szCs w:val="22"/>
        </w:rPr>
        <w:tab/>
      </w:r>
      <w:r w:rsidR="007E2E03" w:rsidRPr="007E2E03">
        <w:rPr>
          <w:sz w:val="22"/>
          <w:szCs w:val="22"/>
        </w:rPr>
        <w:t>Discussion LS on carrier</w:t>
      </w:r>
      <w:r w:rsidR="007E2E03">
        <w:rPr>
          <w:sz w:val="22"/>
          <w:szCs w:val="22"/>
        </w:rPr>
        <w:t xml:space="preserve"> b</w:t>
      </w:r>
      <w:r w:rsidR="007E2E03" w:rsidRPr="007E2E03">
        <w:rPr>
          <w:sz w:val="22"/>
          <w:szCs w:val="22"/>
        </w:rPr>
        <w:t>andwidth configuration for LessThan5MHzFR1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522051A" w14:textId="44675376" w:rsidR="001C7CD0" w:rsidRDefault="001C7CD0" w:rsidP="00652F2E">
      <w:pPr>
        <w:pStyle w:val="BodyText"/>
        <w:rPr>
          <w:rFonts w:ascii="Times New Roman" w:hAnsi="Times New Roman"/>
        </w:rPr>
      </w:pPr>
      <w:r>
        <w:rPr>
          <w:rFonts w:ascii="Times New Roman" w:hAnsi="Times New Roman"/>
        </w:rPr>
        <w:t xml:space="preserve">During RAN2 </w:t>
      </w:r>
      <w:r w:rsidRPr="001C7CD0">
        <w:rPr>
          <w:rFonts w:ascii="Times New Roman" w:hAnsi="Times New Roman"/>
        </w:rPr>
        <w:t>#127bis</w:t>
      </w:r>
      <w:r>
        <w:rPr>
          <w:rFonts w:ascii="Times New Roman" w:hAnsi="Times New Roman"/>
        </w:rPr>
        <w:t>, there were Rel-18 discussions on the support of LessThan5MHzFR1 which resulted in a liaison Statement (LS) entitled “</w:t>
      </w:r>
      <w:r w:rsidRPr="001C7CD0">
        <w:rPr>
          <w:rFonts w:ascii="Times New Roman" w:hAnsi="Times New Roman"/>
        </w:rPr>
        <w:t>LS on carrierBandwidth configuration for less-than-5MHz carriers</w:t>
      </w:r>
      <w:r>
        <w:rPr>
          <w:rFonts w:ascii="Times New Roman" w:hAnsi="Times New Roman"/>
        </w:rPr>
        <w:t>” [1].</w:t>
      </w:r>
    </w:p>
    <w:p w14:paraId="07F0C50B" w14:textId="5F8AFFD3" w:rsidR="001C7CD0" w:rsidRDefault="001C7CD0" w:rsidP="00652F2E">
      <w:pPr>
        <w:pStyle w:val="BodyText"/>
        <w:rPr>
          <w:rFonts w:ascii="Times New Roman" w:hAnsi="Times New Roman"/>
        </w:rPr>
      </w:pPr>
      <w:r>
        <w:rPr>
          <w:rFonts w:ascii="Times New Roman" w:hAnsi="Times New Roman"/>
        </w:rPr>
        <w:t>The overall description in the LS states the following:</w:t>
      </w:r>
    </w:p>
    <w:tbl>
      <w:tblPr>
        <w:tblStyle w:val="TableGrid"/>
        <w:tblW w:w="0" w:type="auto"/>
        <w:tblLook w:val="04A0" w:firstRow="1" w:lastRow="0" w:firstColumn="1" w:lastColumn="0" w:noHBand="0" w:noVBand="1"/>
      </w:tblPr>
      <w:tblGrid>
        <w:gridCol w:w="9629"/>
      </w:tblGrid>
      <w:tr w:rsidR="001C7CD0" w14:paraId="5AD5040B" w14:textId="77777777" w:rsidTr="001C7CD0">
        <w:tc>
          <w:tcPr>
            <w:tcW w:w="9629" w:type="dxa"/>
          </w:tcPr>
          <w:p w14:paraId="5A06AEF2" w14:textId="77777777" w:rsidR="001C7CD0" w:rsidRPr="001C7CD0" w:rsidRDefault="001C7CD0" w:rsidP="001C7CD0">
            <w:pPr>
              <w:snapToGrid w:val="0"/>
              <w:spacing w:after="120"/>
              <w:jc w:val="both"/>
              <w:rPr>
                <w:rFonts w:ascii="Arial" w:eastAsia="DengXian" w:hAnsi="Arial" w:cs="Arial"/>
                <w:sz w:val="16"/>
                <w:szCs w:val="16"/>
              </w:rPr>
            </w:pPr>
            <w:bookmarkStart w:id="0" w:name="_Hlk146817914"/>
            <w:bookmarkStart w:id="1" w:name="_Hlk149073305"/>
            <w:r w:rsidRPr="001C7CD0">
              <w:rPr>
                <w:rFonts w:ascii="Arial" w:eastAsia="DengXian" w:hAnsi="Arial" w:cs="Arial"/>
                <w:sz w:val="16"/>
                <w:szCs w:val="16"/>
              </w:rPr>
              <w:t>RAN2 is discussing carrierBandwidth configuration in SIB1 (i.e. in SIB1-&gt;servingCellConfigCommon -&gt;downlinkConfigCommon-&gt;frequencyInfoDL-&gt;scs-SpecificCarrierList-&gt;carrierBandwidth) and in RRC dedicated signaling (i.e. in CellGroupConfig-&gt;</w:t>
            </w:r>
            <w:r w:rsidRPr="001C7CD0">
              <w:rPr>
                <w:sz w:val="16"/>
                <w:szCs w:val="16"/>
              </w:rPr>
              <w:t xml:space="preserve"> </w:t>
            </w:r>
            <w:r w:rsidRPr="001C7CD0">
              <w:rPr>
                <w:rFonts w:ascii="Arial" w:eastAsia="DengXian" w:hAnsi="Arial" w:cs="Arial"/>
                <w:sz w:val="16"/>
                <w:szCs w:val="16"/>
              </w:rPr>
              <w:t>spCellConfig-&gt;</w:t>
            </w:r>
            <w:r w:rsidRPr="001C7CD0">
              <w:rPr>
                <w:sz w:val="16"/>
                <w:szCs w:val="16"/>
              </w:rPr>
              <w:t xml:space="preserve"> </w:t>
            </w:r>
            <w:r w:rsidRPr="001C7CD0">
              <w:rPr>
                <w:rFonts w:ascii="Arial" w:eastAsia="DengXian" w:hAnsi="Arial" w:cs="Arial"/>
                <w:sz w:val="16"/>
                <w:szCs w:val="16"/>
              </w:rPr>
              <w:t>spCellConfigDedicated-&gt;</w:t>
            </w:r>
            <w:r w:rsidRPr="001C7CD0">
              <w:rPr>
                <w:sz w:val="16"/>
                <w:szCs w:val="16"/>
              </w:rPr>
              <w:t xml:space="preserve"> </w:t>
            </w:r>
            <w:r w:rsidRPr="001C7CD0">
              <w:rPr>
                <w:rFonts w:ascii="Arial" w:eastAsia="DengXian" w:hAnsi="Arial" w:cs="Arial"/>
                <w:sz w:val="16"/>
                <w:szCs w:val="16"/>
              </w:rPr>
              <w:t>downlinkChannelBW-PerSCS-List-&gt;</w:t>
            </w:r>
            <w:r w:rsidRPr="001C7CD0">
              <w:rPr>
                <w:sz w:val="16"/>
                <w:szCs w:val="16"/>
              </w:rPr>
              <w:t xml:space="preserve"> </w:t>
            </w:r>
            <w:r w:rsidRPr="001C7CD0">
              <w:rPr>
                <w:rFonts w:ascii="Arial" w:eastAsia="DengXian" w:hAnsi="Arial" w:cs="Arial"/>
                <w:sz w:val="16"/>
                <w:szCs w:val="16"/>
              </w:rPr>
              <w:t>carrierBandwidth) for the transmission bandwidth configuration of 12 PRB and 20 PRB.</w:t>
            </w:r>
          </w:p>
          <w:p w14:paraId="4D726CC7" w14:textId="77777777" w:rsidR="001C7CD0" w:rsidRPr="001C7CD0" w:rsidRDefault="001C7CD0" w:rsidP="001C7CD0">
            <w:pPr>
              <w:snapToGrid w:val="0"/>
              <w:spacing w:after="120"/>
              <w:jc w:val="both"/>
              <w:rPr>
                <w:rFonts w:ascii="Arial" w:eastAsia="DengXian" w:hAnsi="Arial" w:cs="Arial"/>
                <w:sz w:val="16"/>
                <w:szCs w:val="16"/>
              </w:rPr>
            </w:pPr>
            <w:r w:rsidRPr="001C7CD0">
              <w:rPr>
                <w:rFonts w:ascii="Arial" w:eastAsia="DengXian" w:hAnsi="Arial" w:cs="Arial"/>
                <w:sz w:val="16"/>
                <w:szCs w:val="16"/>
              </w:rPr>
              <w:t xml:space="preserve">According to TS 38.331, the </w:t>
            </w:r>
            <w:r w:rsidRPr="001C7CD0">
              <w:rPr>
                <w:rFonts w:ascii="Arial" w:eastAsia="DengXian" w:hAnsi="Arial" w:cs="Arial"/>
                <w:i/>
                <w:sz w:val="16"/>
                <w:szCs w:val="16"/>
              </w:rPr>
              <w:t xml:space="preserve">carrierBandwidth </w:t>
            </w:r>
            <w:r w:rsidRPr="001C7CD0">
              <w:rPr>
                <w:rFonts w:ascii="Arial" w:eastAsia="DengXian" w:hAnsi="Arial" w:cs="Arial"/>
                <w:sz w:val="16"/>
                <w:szCs w:val="16"/>
              </w:rPr>
              <w:t>shall be larger or equal to a “UE supported maximum transmission bandwidth”. Otherwise the cell would be considered as barred.</w:t>
            </w:r>
          </w:p>
          <w:tbl>
            <w:tblPr>
              <w:tblStyle w:val="TableGrid"/>
              <w:tblW w:w="0" w:type="auto"/>
              <w:tblLook w:val="04A0" w:firstRow="1" w:lastRow="0" w:firstColumn="1" w:lastColumn="0" w:noHBand="0" w:noVBand="1"/>
            </w:tblPr>
            <w:tblGrid>
              <w:gridCol w:w="9403"/>
            </w:tblGrid>
            <w:tr w:rsidR="001C7CD0" w:rsidRPr="001C7CD0" w14:paraId="0C7B98B4" w14:textId="77777777" w:rsidTr="003E7E6B">
              <w:tc>
                <w:tcPr>
                  <w:tcW w:w="9629" w:type="dxa"/>
                </w:tcPr>
                <w:p w14:paraId="39C3F997" w14:textId="77777777" w:rsidR="001C7CD0" w:rsidRPr="001C7CD0" w:rsidRDefault="001C7CD0" w:rsidP="001C7CD0">
                  <w:pPr>
                    <w:jc w:val="both"/>
                    <w:rPr>
                      <w:sz w:val="16"/>
                      <w:szCs w:val="16"/>
                    </w:rPr>
                  </w:pPr>
                  <w:r w:rsidRPr="001C7CD0">
                    <w:rPr>
                      <w:rFonts w:ascii="Times-Roman" w:hAnsi="Times-Roman"/>
                      <w:color w:val="000000"/>
                      <w:sz w:val="16"/>
                      <w:szCs w:val="16"/>
                    </w:rPr>
                    <w:t xml:space="preserve">2&gt; if the UE supports a downlink channel bandwidth with a maximum transmission bandwidth configuration </w:t>
                  </w:r>
                </w:p>
                <w:p w14:paraId="2E4AF3E4" w14:textId="77777777" w:rsidR="001C7CD0" w:rsidRPr="001C7CD0" w:rsidRDefault="001C7CD0" w:rsidP="001C7CD0">
                  <w:pPr>
                    <w:jc w:val="both"/>
                    <w:rPr>
                      <w:sz w:val="16"/>
                      <w:szCs w:val="16"/>
                    </w:rPr>
                  </w:pPr>
                  <w:r w:rsidRPr="001C7CD0">
                    <w:rPr>
                      <w:rFonts w:ascii="Times-Roman" w:hAnsi="Times-Roman"/>
                      <w:color w:val="000000"/>
                      <w:sz w:val="16"/>
                      <w:szCs w:val="16"/>
                    </w:rPr>
                    <w:t xml:space="preserve">(see TS 38.101-1 [15], TS 38.101-2 [39], and TS 38.101-5 [75]) which </w:t>
                  </w:r>
                </w:p>
                <w:p w14:paraId="0C7B4A19" w14:textId="77777777" w:rsidR="001C7CD0" w:rsidRPr="001C7CD0" w:rsidRDefault="001C7CD0" w:rsidP="001C7CD0">
                  <w:pPr>
                    <w:jc w:val="both"/>
                    <w:rPr>
                      <w:sz w:val="16"/>
                      <w:szCs w:val="16"/>
                    </w:rPr>
                  </w:pPr>
                  <w:r w:rsidRPr="001C7CD0">
                    <w:rPr>
                      <w:rFonts w:ascii="Times-Roman" w:hAnsi="Times-Roman"/>
                      <w:color w:val="000000"/>
                      <w:sz w:val="16"/>
                      <w:szCs w:val="16"/>
                    </w:rPr>
                    <w:t xml:space="preserve">   - is smaller than or equal to the </w:t>
                  </w:r>
                  <w:r w:rsidRPr="001C7CD0">
                    <w:rPr>
                      <w:rFonts w:ascii="Times-Italic" w:hAnsi="Times-Italic"/>
                      <w:i/>
                      <w:iCs/>
                      <w:color w:val="000000"/>
                      <w:sz w:val="16"/>
                      <w:szCs w:val="16"/>
                    </w:rPr>
                    <w:t>carrierBandwidth</w:t>
                  </w:r>
                  <w:r w:rsidRPr="001C7CD0">
                    <w:rPr>
                      <w:rFonts w:ascii="Times-Roman" w:hAnsi="Times-Roman"/>
                      <w:color w:val="000000"/>
                      <w:sz w:val="16"/>
                      <w:szCs w:val="16"/>
                    </w:rPr>
                    <w:t xml:space="preserve"> (indicated in </w:t>
                  </w:r>
                  <w:r w:rsidRPr="001C7CD0">
                    <w:rPr>
                      <w:rFonts w:ascii="Times-Italic" w:hAnsi="Times-Italic"/>
                      <w:i/>
                      <w:iCs/>
                      <w:color w:val="000000"/>
                      <w:sz w:val="16"/>
                      <w:szCs w:val="16"/>
                    </w:rPr>
                    <w:t>downlinkConfigCommon</w:t>
                  </w:r>
                  <w:r w:rsidRPr="001C7CD0">
                    <w:rPr>
                      <w:rFonts w:ascii="Times-Roman" w:hAnsi="Times-Roman"/>
                      <w:color w:val="000000"/>
                      <w:sz w:val="16"/>
                      <w:szCs w:val="16"/>
                    </w:rPr>
                    <w:t xml:space="preserve"> for the SCS of the </w:t>
                  </w:r>
                </w:p>
                <w:p w14:paraId="70D65382" w14:textId="77777777" w:rsidR="001C7CD0" w:rsidRPr="001C7CD0" w:rsidRDefault="001C7CD0" w:rsidP="001C7CD0">
                  <w:pPr>
                    <w:jc w:val="both"/>
                    <w:rPr>
                      <w:rFonts w:ascii="Times-Roman" w:hAnsi="Times-Roman"/>
                      <w:color w:val="000000"/>
                      <w:sz w:val="16"/>
                      <w:szCs w:val="16"/>
                    </w:rPr>
                  </w:pPr>
                  <w:r w:rsidRPr="001C7CD0">
                    <w:rPr>
                      <w:rFonts w:ascii="Times-Roman" w:hAnsi="Times-Roman"/>
                      <w:color w:val="000000"/>
                      <w:sz w:val="16"/>
                      <w:szCs w:val="16"/>
                    </w:rPr>
                    <w:t xml:space="preserve">    initial downlink BWP </w:t>
                  </w:r>
                </w:p>
                <w:p w14:paraId="694E856E" w14:textId="77777777" w:rsidR="001C7CD0" w:rsidRPr="001C7CD0" w:rsidRDefault="001C7CD0" w:rsidP="001C7CD0">
                  <w:pPr>
                    <w:jc w:val="both"/>
                    <w:rPr>
                      <w:rFonts w:ascii="Times-Roman" w:hAnsi="Times-Roman"/>
                      <w:color w:val="000000"/>
                      <w:sz w:val="16"/>
                      <w:szCs w:val="16"/>
                    </w:rPr>
                  </w:pPr>
                  <w:r w:rsidRPr="001C7CD0">
                    <w:rPr>
                      <w:rFonts w:ascii="Times-Roman" w:hAnsi="Times-Roman"/>
                      <w:color w:val="000000"/>
                      <w:sz w:val="16"/>
                      <w:szCs w:val="16"/>
                    </w:rPr>
                    <w:t xml:space="preserve">  …..</w:t>
                  </w:r>
                </w:p>
                <w:p w14:paraId="0461B9B0" w14:textId="77777777" w:rsidR="001C7CD0" w:rsidRPr="001C7CD0" w:rsidRDefault="001C7CD0" w:rsidP="001C7CD0">
                  <w:pPr>
                    <w:jc w:val="both"/>
                    <w:rPr>
                      <w:sz w:val="16"/>
                      <w:szCs w:val="16"/>
                    </w:rPr>
                  </w:pPr>
                  <w:r w:rsidRPr="001C7CD0">
                    <w:rPr>
                      <w:rFonts w:ascii="Times-Roman" w:hAnsi="Times-Roman"/>
                      <w:color w:val="000000"/>
                      <w:sz w:val="16"/>
                      <w:szCs w:val="16"/>
                    </w:rPr>
                    <w:t xml:space="preserve">2&gt; else: </w:t>
                  </w:r>
                </w:p>
                <w:p w14:paraId="341D378E" w14:textId="77777777" w:rsidR="001C7CD0" w:rsidRPr="001C7CD0" w:rsidRDefault="001C7CD0" w:rsidP="001C7CD0">
                  <w:pPr>
                    <w:jc w:val="both"/>
                    <w:rPr>
                      <w:sz w:val="16"/>
                      <w:szCs w:val="16"/>
                    </w:rPr>
                  </w:pPr>
                  <w:r w:rsidRPr="001C7CD0">
                    <w:rPr>
                      <w:rFonts w:ascii="Times-Roman" w:hAnsi="Times-Roman"/>
                      <w:color w:val="000000"/>
                      <w:sz w:val="16"/>
                      <w:szCs w:val="16"/>
                    </w:rPr>
                    <w:t xml:space="preserve">  3&gt; consider the cell as barred in accordance with TS 38.304 [20]; and </w:t>
                  </w:r>
                </w:p>
                <w:p w14:paraId="5FE91947" w14:textId="77777777" w:rsidR="001C7CD0" w:rsidRPr="001C7CD0" w:rsidRDefault="001C7CD0" w:rsidP="001C7CD0">
                  <w:pPr>
                    <w:snapToGrid w:val="0"/>
                    <w:spacing w:after="120"/>
                    <w:jc w:val="both"/>
                    <w:rPr>
                      <w:rFonts w:ascii="Arial" w:eastAsia="DengXian" w:hAnsi="Arial" w:cs="Arial"/>
                      <w:sz w:val="16"/>
                      <w:szCs w:val="16"/>
                    </w:rPr>
                  </w:pPr>
                </w:p>
              </w:tc>
            </w:tr>
          </w:tbl>
          <w:p w14:paraId="7C9DF80B" w14:textId="77777777" w:rsidR="001C7CD0" w:rsidRPr="001C7CD0" w:rsidRDefault="001C7CD0" w:rsidP="001C7CD0">
            <w:pPr>
              <w:snapToGrid w:val="0"/>
              <w:spacing w:after="120"/>
              <w:jc w:val="both"/>
              <w:rPr>
                <w:rFonts w:ascii="Arial" w:eastAsia="DengXian" w:hAnsi="Arial" w:cs="Arial"/>
                <w:sz w:val="16"/>
                <w:szCs w:val="16"/>
              </w:rPr>
            </w:pPr>
            <w:r w:rsidRPr="001C7CD0">
              <w:rPr>
                <w:rFonts w:ascii="Arial" w:eastAsia="DengXian" w:hAnsi="Arial" w:cs="Arial"/>
                <w:sz w:val="16"/>
                <w:szCs w:val="16"/>
              </w:rPr>
              <w:t xml:space="preserve">Now according to the RAN4 spec, RAN2 understands that the minimum “UE supported maximum transmission bandwidth” would be 15 PRB (for 12 PRB case) or 25 PRB (for 20 PRB case). Therefore, </w:t>
            </w:r>
            <w:bookmarkStart w:id="2" w:name="_Hlk181117876"/>
            <w:r w:rsidRPr="001C7CD0">
              <w:rPr>
                <w:rFonts w:ascii="Arial" w:eastAsia="DengXian" w:hAnsi="Arial" w:cs="Arial"/>
                <w:sz w:val="16"/>
                <w:szCs w:val="16"/>
              </w:rPr>
              <w:t xml:space="preserve">to avoid unnecessary cell barring, from RAN2 perspective, the network needs to set </w:t>
            </w:r>
            <w:r w:rsidRPr="001C7CD0">
              <w:rPr>
                <w:rFonts w:ascii="Arial" w:eastAsia="DengXian" w:hAnsi="Arial" w:cs="Arial"/>
                <w:i/>
                <w:sz w:val="16"/>
                <w:szCs w:val="16"/>
              </w:rPr>
              <w:t>carrierBandwidth</w:t>
            </w:r>
            <w:r w:rsidRPr="001C7CD0">
              <w:rPr>
                <w:rFonts w:ascii="Arial" w:eastAsia="DengXian" w:hAnsi="Arial" w:cs="Arial"/>
                <w:sz w:val="16"/>
                <w:szCs w:val="16"/>
              </w:rPr>
              <w:t xml:space="preserve"> to a value equal or larger than 15 PRB for the 12 PRB case and a value equal or larger than 25 PRB for the 20 PRB case</w:t>
            </w:r>
            <w:bookmarkEnd w:id="2"/>
            <w:r w:rsidRPr="001C7CD0">
              <w:rPr>
                <w:rFonts w:ascii="Arial" w:eastAsia="DengXian" w:hAnsi="Arial" w:cs="Arial"/>
                <w:sz w:val="16"/>
                <w:szCs w:val="16"/>
              </w:rPr>
              <w:t xml:space="preserve">. </w:t>
            </w:r>
          </w:p>
          <w:p w14:paraId="71D6DC79" w14:textId="4BE570DD" w:rsidR="001C7CD0" w:rsidRPr="001C7CD0" w:rsidRDefault="001C7CD0" w:rsidP="001C7CD0">
            <w:pPr>
              <w:snapToGrid w:val="0"/>
              <w:spacing w:after="120"/>
              <w:jc w:val="both"/>
              <w:rPr>
                <w:rFonts w:ascii="Arial" w:eastAsia="DengXian" w:hAnsi="Arial" w:cs="Arial"/>
                <w:color w:val="000000"/>
                <w:sz w:val="20"/>
                <w:szCs w:val="20"/>
              </w:rPr>
            </w:pPr>
            <w:r w:rsidRPr="001C7CD0">
              <w:rPr>
                <w:rFonts w:ascii="Arial" w:eastAsia="DengXian" w:hAnsi="Arial" w:cs="Arial"/>
                <w:sz w:val="16"/>
                <w:szCs w:val="16"/>
              </w:rPr>
              <w:t xml:space="preserve">RAN2 would like to understand from RAN4 perspective whether it is feasible to configure </w:t>
            </w:r>
            <w:r w:rsidRPr="001C7CD0">
              <w:rPr>
                <w:rFonts w:ascii="Arial" w:eastAsia="DengXian" w:hAnsi="Arial" w:cs="Arial"/>
                <w:i/>
                <w:sz w:val="16"/>
                <w:szCs w:val="16"/>
              </w:rPr>
              <w:t>carrierBandwidth</w:t>
            </w:r>
            <w:r w:rsidRPr="001C7CD0">
              <w:rPr>
                <w:rFonts w:ascii="Arial" w:eastAsia="DengXian" w:hAnsi="Arial" w:cs="Arial"/>
                <w:sz w:val="16"/>
                <w:szCs w:val="16"/>
              </w:rPr>
              <w:t xml:space="preserve"> to 15 PRB (for the 12 PRB case) and 25 PRB (for the 20 PRB</w:t>
            </w:r>
            <w:r w:rsidRPr="001C7CD0">
              <w:rPr>
                <w:rFonts w:ascii="Arial" w:eastAsia="DengXian" w:hAnsi="Arial" w:cs="Arial" w:hint="eastAsia"/>
                <w:sz w:val="16"/>
                <w:szCs w:val="16"/>
              </w:rPr>
              <w:t>) case</w:t>
            </w:r>
            <w:r w:rsidRPr="001C7CD0">
              <w:rPr>
                <w:rFonts w:ascii="Arial" w:eastAsia="DengXian" w:hAnsi="Arial" w:cs="Arial"/>
                <w:sz w:val="16"/>
                <w:szCs w:val="16"/>
              </w:rPr>
              <w:t xml:space="preserve"> respectively in SIB1 and in RRC dedicated signaling, and if not what values should be configured.</w:t>
            </w:r>
            <w:bookmarkEnd w:id="0"/>
            <w:bookmarkEnd w:id="1"/>
          </w:p>
        </w:tc>
      </w:tr>
    </w:tbl>
    <w:p w14:paraId="78B949F1" w14:textId="77777777" w:rsidR="001C7CD0" w:rsidRDefault="001C7CD0" w:rsidP="00652F2E">
      <w:pPr>
        <w:pStyle w:val="BodyText"/>
        <w:rPr>
          <w:rFonts w:ascii="Times New Roman" w:hAnsi="Times New Roman"/>
        </w:rPr>
      </w:pPr>
    </w:p>
    <w:p w14:paraId="7B05F9B4" w14:textId="4CFBF380" w:rsidR="001C7CD0" w:rsidRDefault="001C7CD0" w:rsidP="00652F2E">
      <w:pPr>
        <w:pStyle w:val="BodyText"/>
        <w:rPr>
          <w:rFonts w:ascii="Times New Roman" w:hAnsi="Times New Roman"/>
        </w:rPr>
      </w:pPr>
      <w:r>
        <w:rPr>
          <w:rFonts w:ascii="Times New Roman" w:hAnsi="Times New Roman"/>
        </w:rPr>
        <w:t>The LS contains the following action for RAN1:</w:t>
      </w:r>
    </w:p>
    <w:tbl>
      <w:tblPr>
        <w:tblStyle w:val="TableGrid"/>
        <w:tblW w:w="0" w:type="auto"/>
        <w:tblLook w:val="04A0" w:firstRow="1" w:lastRow="0" w:firstColumn="1" w:lastColumn="0" w:noHBand="0" w:noVBand="1"/>
      </w:tblPr>
      <w:tblGrid>
        <w:gridCol w:w="9629"/>
      </w:tblGrid>
      <w:tr w:rsidR="001C7CD0" w14:paraId="7B6EAEF2" w14:textId="77777777" w:rsidTr="001C7CD0">
        <w:tc>
          <w:tcPr>
            <w:tcW w:w="9629" w:type="dxa"/>
          </w:tcPr>
          <w:p w14:paraId="52394DE8" w14:textId="53B420E2" w:rsidR="001C7CD0" w:rsidRPr="001C7CD0" w:rsidRDefault="001C7CD0" w:rsidP="001C7CD0">
            <w:pPr>
              <w:snapToGrid w:val="0"/>
              <w:spacing w:after="120"/>
              <w:jc w:val="both"/>
              <w:rPr>
                <w:rFonts w:ascii="Arial" w:hAnsi="Arial"/>
                <w:lang w:eastAsia="en-US"/>
              </w:rPr>
            </w:pPr>
            <w:r w:rsidRPr="001C7CD0">
              <w:rPr>
                <w:rFonts w:ascii="Arial" w:eastAsia="SimSun" w:hAnsi="Arial" w:cs="Arial"/>
                <w:b/>
                <w:sz w:val="16"/>
                <w:szCs w:val="16"/>
                <w:lang w:eastAsia="en-US"/>
              </w:rPr>
              <w:t>ACTION:</w:t>
            </w:r>
            <w:r w:rsidRPr="001C7CD0">
              <w:rPr>
                <w:rFonts w:ascii="Arial" w:hAnsi="Arial" w:cs="Arial"/>
                <w:b/>
                <w:sz w:val="18"/>
                <w:szCs w:val="18"/>
                <w:lang w:eastAsia="en-US"/>
              </w:rPr>
              <w:t xml:space="preserve"> </w:t>
            </w:r>
            <w:r w:rsidRPr="001C7CD0">
              <w:rPr>
                <w:rFonts w:ascii="Arial" w:eastAsia="SimSun" w:hAnsi="Arial"/>
                <w:sz w:val="16"/>
                <w:szCs w:val="16"/>
                <w:lang w:eastAsia="en-US"/>
              </w:rPr>
              <w:t>RAN2 respectfully asks RAN1 to take above into account and provide feedback if any.</w:t>
            </w:r>
          </w:p>
        </w:tc>
      </w:tr>
    </w:tbl>
    <w:p w14:paraId="251E8E45" w14:textId="6A2B808B"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1C7CD0">
        <w:rPr>
          <w:rFonts w:ascii="Times New Roman" w:hAnsi="Times New Roman"/>
        </w:rPr>
        <w:t>our views on the received LS accounting for the overall description and the action for RAN1</w:t>
      </w:r>
      <w:r w:rsidR="005124B9">
        <w:rPr>
          <w:rFonts w:ascii="Times New Roman" w:hAnsi="Times New Roman"/>
        </w:rPr>
        <w:t>.</w:t>
      </w:r>
      <w:r w:rsidR="000845DC">
        <w:rPr>
          <w:rFonts w:ascii="Times New Roman" w:hAnsi="Times New Roman"/>
        </w:rPr>
        <w:t xml:space="preserve"> </w:t>
      </w:r>
    </w:p>
    <w:p w14:paraId="192CB251" w14:textId="532C08D4" w:rsidR="00574B33" w:rsidRDefault="00574B33" w:rsidP="00574B33">
      <w:pPr>
        <w:pStyle w:val="Heading1"/>
      </w:pPr>
      <w:r>
        <w:t>2</w:t>
      </w:r>
      <w:r>
        <w:tab/>
      </w:r>
      <w:r w:rsidR="00CC31BF">
        <w:t>Discussion</w:t>
      </w:r>
    </w:p>
    <w:p w14:paraId="6312EAF6" w14:textId="48E0F991" w:rsidR="00CC31BF" w:rsidRDefault="00CC31BF" w:rsidP="004F1FCD">
      <w:pPr>
        <w:pStyle w:val="BodyText"/>
        <w:rPr>
          <w:rFonts w:ascii="Times New Roman" w:hAnsi="Times New Roman"/>
        </w:rPr>
      </w:pPr>
      <w:r>
        <w:rPr>
          <w:rFonts w:ascii="Times New Roman" w:hAnsi="Times New Roman"/>
        </w:rPr>
        <w:t>As starting</w:t>
      </w:r>
      <w:r w:rsidR="00755F66">
        <w:rPr>
          <w:rFonts w:ascii="Times New Roman" w:hAnsi="Times New Roman"/>
        </w:rPr>
        <w:t xml:space="preserve"> point</w:t>
      </w:r>
      <w:r>
        <w:rPr>
          <w:rFonts w:ascii="Times New Roman" w:hAnsi="Times New Roman"/>
        </w:rPr>
        <w:t xml:space="preserve">, it is important to have a common understanding of the terminology </w:t>
      </w:r>
      <w:r w:rsidR="0090769D">
        <w:rPr>
          <w:rFonts w:ascii="Times New Roman" w:hAnsi="Times New Roman"/>
        </w:rPr>
        <w:t>around the support of LessThan5MHzFR1.</w:t>
      </w:r>
      <w:r>
        <w:rPr>
          <w:rFonts w:ascii="Times New Roman" w:hAnsi="Times New Roman"/>
        </w:rPr>
        <w:t xml:space="preserve"> </w:t>
      </w:r>
      <w:r w:rsidR="0090769D">
        <w:rPr>
          <w:rFonts w:ascii="Times New Roman" w:hAnsi="Times New Roman"/>
        </w:rPr>
        <w:t>F</w:t>
      </w:r>
      <w:r>
        <w:rPr>
          <w:rFonts w:ascii="Times New Roman" w:hAnsi="Times New Roman"/>
        </w:rPr>
        <w:t>or this purpose</w:t>
      </w:r>
      <w:r w:rsidR="0090769D">
        <w:rPr>
          <w:rFonts w:ascii="Times New Roman" w:hAnsi="Times New Roman"/>
        </w:rPr>
        <w:t>,</w:t>
      </w:r>
      <w:r>
        <w:rPr>
          <w:rFonts w:ascii="Times New Roman" w:hAnsi="Times New Roman"/>
        </w:rPr>
        <w:t xml:space="preserve"> we refer to TS 38-101-1 which depicts the “</w:t>
      </w:r>
      <w:r w:rsidRPr="00CC31BF">
        <w:rPr>
          <w:rFonts w:ascii="Times New Roman" w:hAnsi="Times New Roman"/>
        </w:rPr>
        <w:t>relationship between the channel bandwidth</w:t>
      </w:r>
      <w:r w:rsidR="00382BAF">
        <w:rPr>
          <w:rFonts w:ascii="Times New Roman" w:hAnsi="Times New Roman"/>
        </w:rPr>
        <w:t xml:space="preserve"> (CBW)</w:t>
      </w:r>
      <w:r w:rsidRPr="00CC31BF">
        <w:rPr>
          <w:rFonts w:ascii="Times New Roman" w:hAnsi="Times New Roman"/>
        </w:rPr>
        <w:t>, the guardband and the maximum transmission bandwidth configuration</w:t>
      </w:r>
      <w:r>
        <w:rPr>
          <w:rFonts w:ascii="Times New Roman" w:hAnsi="Times New Roman"/>
        </w:rPr>
        <w:t>” [2].</w:t>
      </w:r>
    </w:p>
    <w:p w14:paraId="524A61C0" w14:textId="5BEC8867" w:rsidR="004C2A34" w:rsidRDefault="00CC31BF" w:rsidP="00CC31BF">
      <w:pPr>
        <w:pStyle w:val="BodyText"/>
        <w:jc w:val="center"/>
        <w:rPr>
          <w:rFonts w:ascii="Times New Roman" w:hAnsi="Times New Roman"/>
        </w:rPr>
      </w:pPr>
      <w:r w:rsidRPr="00A1115A">
        <w:rPr>
          <w:noProof/>
          <w:lang w:val="en-US"/>
        </w:rPr>
        <w:lastRenderedPageBreak/>
        <w:drawing>
          <wp:inline distT="0" distB="0" distL="0" distR="0" wp14:anchorId="3908BCF4" wp14:editId="22ED0601">
            <wp:extent cx="3693160" cy="1833846"/>
            <wp:effectExtent l="0" t="0" r="254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8094" cy="1846227"/>
                    </a:xfrm>
                    <a:prstGeom prst="rect">
                      <a:avLst/>
                    </a:prstGeom>
                    <a:noFill/>
                    <a:ln>
                      <a:noFill/>
                    </a:ln>
                  </pic:spPr>
                </pic:pic>
              </a:graphicData>
            </a:graphic>
          </wp:inline>
        </w:drawing>
      </w:r>
    </w:p>
    <w:p w14:paraId="5984C414" w14:textId="0C98C5E5" w:rsidR="00CC31BF" w:rsidRPr="00CC31BF" w:rsidRDefault="00CC31BF" w:rsidP="00CC31BF">
      <w:pPr>
        <w:pStyle w:val="TF"/>
        <w:rPr>
          <w:rFonts w:eastAsia="Yu Mincho"/>
          <w:sz w:val="16"/>
          <w:szCs w:val="16"/>
        </w:rPr>
      </w:pPr>
      <w:r w:rsidRPr="00CC31BF">
        <w:rPr>
          <w:rFonts w:eastAsia="Yu Mincho"/>
          <w:sz w:val="16"/>
          <w:szCs w:val="16"/>
        </w:rPr>
        <w:t>Figure 1: Extract of TS 38.101-1 illustrating the definition of the channel bandwidth and the maximum transmission bandwidth configuration for one NR channel</w:t>
      </w:r>
    </w:p>
    <w:p w14:paraId="7FBFA93B" w14:textId="78899DCF" w:rsidR="0014513E" w:rsidRDefault="0014513E" w:rsidP="004F1FCD">
      <w:pPr>
        <w:pStyle w:val="BodyText"/>
        <w:rPr>
          <w:rFonts w:ascii="Times New Roman" w:hAnsi="Times New Roman"/>
        </w:rPr>
      </w:pPr>
      <w:r>
        <w:rPr>
          <w:rFonts w:ascii="Times New Roman" w:hAnsi="Times New Roman"/>
        </w:rPr>
        <w:t>From Figure 1, we can highlight the following</w:t>
      </w:r>
      <w:r w:rsidR="00DE443A">
        <w:rPr>
          <w:rFonts w:ascii="Times New Roman" w:hAnsi="Times New Roman"/>
        </w:rPr>
        <w:t xml:space="preserve"> points</w:t>
      </w:r>
      <w:r>
        <w:rPr>
          <w:rFonts w:ascii="Times New Roman" w:hAnsi="Times New Roman"/>
        </w:rPr>
        <w:t>:</w:t>
      </w:r>
    </w:p>
    <w:p w14:paraId="5F0F4001" w14:textId="52780B7B" w:rsidR="0014513E" w:rsidRDefault="0014513E" w:rsidP="0014513E">
      <w:pPr>
        <w:pStyle w:val="BodyText"/>
        <w:numPr>
          <w:ilvl w:val="0"/>
          <w:numId w:val="40"/>
        </w:numPr>
        <w:rPr>
          <w:rFonts w:ascii="Times New Roman" w:hAnsi="Times New Roman"/>
        </w:rPr>
      </w:pPr>
      <w:r>
        <w:rPr>
          <w:rFonts w:ascii="Times New Roman" w:hAnsi="Times New Roman"/>
        </w:rPr>
        <w:t>The term “Channel Bandwidth” is expressed in terms of MHz</w:t>
      </w:r>
      <w:r w:rsidR="00DE443A">
        <w:rPr>
          <w:rFonts w:ascii="Times New Roman" w:hAnsi="Times New Roman"/>
        </w:rPr>
        <w:t>.</w:t>
      </w:r>
    </w:p>
    <w:p w14:paraId="5A25DBD2" w14:textId="1F2B65F9" w:rsidR="0014513E" w:rsidRDefault="0014513E" w:rsidP="0014513E">
      <w:pPr>
        <w:pStyle w:val="BodyText"/>
        <w:numPr>
          <w:ilvl w:val="0"/>
          <w:numId w:val="40"/>
        </w:numPr>
        <w:rPr>
          <w:rFonts w:ascii="Times New Roman" w:hAnsi="Times New Roman"/>
        </w:rPr>
      </w:pPr>
      <w:r>
        <w:rPr>
          <w:rFonts w:ascii="Times New Roman" w:hAnsi="Times New Roman"/>
        </w:rPr>
        <w:t>The term “Transmission Bandwidth Configuration N</w:t>
      </w:r>
      <w:r w:rsidRPr="0014513E">
        <w:rPr>
          <w:rFonts w:ascii="Times New Roman" w:hAnsi="Times New Roman"/>
          <w:vertAlign w:val="subscript"/>
        </w:rPr>
        <w:t>RB</w:t>
      </w:r>
      <w:r>
        <w:rPr>
          <w:rFonts w:ascii="Times New Roman" w:hAnsi="Times New Roman"/>
        </w:rPr>
        <w:t>” refers to the “maximum transmission bandwidth”</w:t>
      </w:r>
      <w:r w:rsidR="00DE443A">
        <w:rPr>
          <w:rFonts w:ascii="Times New Roman" w:hAnsi="Times New Roman"/>
        </w:rPr>
        <w:t xml:space="preserve"> and is expressed in terms of number of resource blocks. It</w:t>
      </w:r>
      <w:r>
        <w:rPr>
          <w:rFonts w:ascii="Times New Roman" w:hAnsi="Times New Roman"/>
        </w:rPr>
        <w:t xml:space="preserve"> is defined in Table 5.3.2-1 of TS 38.101-1 for 3 MHz and 5 MHz Channel Bandwidths as follows:</w:t>
      </w:r>
    </w:p>
    <w:tbl>
      <w:tblPr>
        <w:tblpPr w:leftFromText="142" w:rightFromText="142" w:vertAnchor="text" w:horzAnchor="page" w:tblpX="5631" w:tblpY="333"/>
        <w:tblOverlap w:val="never"/>
        <w:tblW w:w="1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7"/>
        <w:gridCol w:w="695"/>
        <w:gridCol w:w="696"/>
      </w:tblGrid>
      <w:tr w:rsidR="0014513E" w:rsidRPr="00A1115A" w14:paraId="5269F9F7" w14:textId="77777777" w:rsidTr="0014513E">
        <w:trPr>
          <w:trHeight w:val="187"/>
        </w:trPr>
        <w:tc>
          <w:tcPr>
            <w:tcW w:w="1571" w:type="pct"/>
            <w:tcBorders>
              <w:bottom w:val="nil"/>
            </w:tcBorders>
            <w:shd w:val="clear" w:color="auto" w:fill="auto"/>
            <w:tcMar>
              <w:top w:w="15" w:type="dxa"/>
              <w:left w:w="81" w:type="dxa"/>
              <w:bottom w:w="0" w:type="dxa"/>
              <w:right w:w="81" w:type="dxa"/>
            </w:tcMar>
            <w:hideMark/>
          </w:tcPr>
          <w:p w14:paraId="2B988FB8" w14:textId="77777777" w:rsidR="0014513E" w:rsidRPr="00A1115A" w:rsidRDefault="0014513E" w:rsidP="0014513E">
            <w:pPr>
              <w:pStyle w:val="TAH"/>
            </w:pPr>
            <w:bookmarkStart w:id="3" w:name="_Hlk497144372"/>
            <w:bookmarkStart w:id="4" w:name="_Hlk505013260"/>
            <w:r w:rsidRPr="00A1115A">
              <w:t>SCS (kHz)</w:t>
            </w:r>
          </w:p>
        </w:tc>
        <w:tc>
          <w:tcPr>
            <w:tcW w:w="1714" w:type="pct"/>
          </w:tcPr>
          <w:p w14:paraId="16CE5C50" w14:textId="77777777" w:rsidR="0014513E" w:rsidRPr="004F11F8" w:rsidRDefault="0014513E" w:rsidP="0014513E">
            <w:pPr>
              <w:pStyle w:val="TAH"/>
              <w:rPr>
                <w:rFonts w:cs="Arial"/>
                <w:szCs w:val="18"/>
              </w:rPr>
            </w:pPr>
            <w:r>
              <w:rPr>
                <w:rFonts w:cs="Arial"/>
                <w:szCs w:val="18"/>
              </w:rPr>
              <w:t>3</w:t>
            </w:r>
          </w:p>
          <w:p w14:paraId="05B83412" w14:textId="77777777" w:rsidR="0014513E" w:rsidRPr="004F11F8" w:rsidRDefault="0014513E" w:rsidP="0014513E">
            <w:pPr>
              <w:pStyle w:val="TAH"/>
              <w:rPr>
                <w:rFonts w:cs="Arial"/>
                <w:szCs w:val="18"/>
              </w:rPr>
            </w:pPr>
            <w:r w:rsidRPr="004764AA">
              <w:rPr>
                <w:rFonts w:cs="Arial"/>
                <w:szCs w:val="18"/>
              </w:rPr>
              <w:t>MHz</w:t>
            </w:r>
          </w:p>
        </w:tc>
        <w:tc>
          <w:tcPr>
            <w:tcW w:w="1716" w:type="pct"/>
            <w:shd w:val="clear" w:color="auto" w:fill="auto"/>
            <w:tcMar>
              <w:top w:w="15" w:type="dxa"/>
              <w:left w:w="81" w:type="dxa"/>
              <w:bottom w:w="0" w:type="dxa"/>
              <w:right w:w="81" w:type="dxa"/>
            </w:tcMar>
            <w:hideMark/>
          </w:tcPr>
          <w:p w14:paraId="06B24333" w14:textId="77777777" w:rsidR="0014513E" w:rsidRPr="004F11F8" w:rsidRDefault="0014513E" w:rsidP="0014513E">
            <w:pPr>
              <w:pStyle w:val="TAH"/>
              <w:rPr>
                <w:rFonts w:cs="Arial"/>
                <w:szCs w:val="18"/>
              </w:rPr>
            </w:pPr>
            <w:r w:rsidRPr="004F11F8">
              <w:rPr>
                <w:rFonts w:cs="Arial"/>
                <w:szCs w:val="18"/>
              </w:rPr>
              <w:t>5</w:t>
            </w:r>
          </w:p>
          <w:p w14:paraId="7FC8B8E4" w14:textId="77777777" w:rsidR="0014513E" w:rsidRPr="00A1115A" w:rsidRDefault="0014513E" w:rsidP="0014513E">
            <w:pPr>
              <w:pStyle w:val="TAH"/>
            </w:pPr>
            <w:r w:rsidRPr="004764AA">
              <w:rPr>
                <w:rFonts w:cs="Arial"/>
                <w:szCs w:val="18"/>
              </w:rPr>
              <w:t>MHz</w:t>
            </w:r>
          </w:p>
        </w:tc>
      </w:tr>
      <w:tr w:rsidR="0014513E" w:rsidRPr="00A1115A" w14:paraId="19ABD4FD" w14:textId="77777777" w:rsidTr="0014513E">
        <w:trPr>
          <w:trHeight w:val="187"/>
        </w:trPr>
        <w:tc>
          <w:tcPr>
            <w:tcW w:w="1571" w:type="pct"/>
            <w:tcBorders>
              <w:top w:val="nil"/>
            </w:tcBorders>
            <w:shd w:val="clear" w:color="auto" w:fill="auto"/>
            <w:hideMark/>
          </w:tcPr>
          <w:p w14:paraId="46A74B60" w14:textId="77777777" w:rsidR="0014513E" w:rsidRPr="00A1115A" w:rsidRDefault="0014513E" w:rsidP="0014513E">
            <w:pPr>
              <w:pStyle w:val="TAH"/>
            </w:pPr>
          </w:p>
        </w:tc>
        <w:tc>
          <w:tcPr>
            <w:tcW w:w="1714" w:type="pct"/>
          </w:tcPr>
          <w:p w14:paraId="1B038921" w14:textId="77777777" w:rsidR="0014513E" w:rsidRPr="004764AA" w:rsidRDefault="0014513E" w:rsidP="0014513E">
            <w:pPr>
              <w:pStyle w:val="TAH"/>
              <w:rPr>
                <w:rFonts w:cs="Arial"/>
                <w:szCs w:val="18"/>
              </w:rPr>
            </w:pPr>
            <w:r w:rsidRPr="004764AA">
              <w:rPr>
                <w:rFonts w:cs="Arial"/>
                <w:szCs w:val="18"/>
              </w:rPr>
              <w:t>N</w:t>
            </w:r>
            <w:r w:rsidRPr="004764AA">
              <w:rPr>
                <w:rFonts w:cs="Arial"/>
                <w:szCs w:val="18"/>
                <w:vertAlign w:val="subscript"/>
              </w:rPr>
              <w:t>RB</w:t>
            </w:r>
          </w:p>
        </w:tc>
        <w:tc>
          <w:tcPr>
            <w:tcW w:w="1716" w:type="pct"/>
            <w:shd w:val="clear" w:color="auto" w:fill="auto"/>
            <w:tcMar>
              <w:top w:w="15" w:type="dxa"/>
              <w:left w:w="81" w:type="dxa"/>
              <w:bottom w:w="0" w:type="dxa"/>
              <w:right w:w="81" w:type="dxa"/>
            </w:tcMar>
            <w:hideMark/>
          </w:tcPr>
          <w:p w14:paraId="71B07600" w14:textId="77777777" w:rsidR="0014513E" w:rsidRPr="00A1115A" w:rsidRDefault="0014513E" w:rsidP="0014513E">
            <w:pPr>
              <w:pStyle w:val="TAH"/>
            </w:pPr>
            <w:r w:rsidRPr="004764AA">
              <w:rPr>
                <w:rFonts w:cs="Arial"/>
                <w:szCs w:val="18"/>
              </w:rPr>
              <w:t>N</w:t>
            </w:r>
            <w:r w:rsidRPr="004764AA">
              <w:rPr>
                <w:rFonts w:cs="Arial"/>
                <w:szCs w:val="18"/>
                <w:vertAlign w:val="subscript"/>
              </w:rPr>
              <w:t>RB</w:t>
            </w:r>
          </w:p>
        </w:tc>
      </w:tr>
      <w:tr w:rsidR="0014513E" w:rsidRPr="00A1115A" w14:paraId="4D49E881" w14:textId="77777777" w:rsidTr="0014513E">
        <w:trPr>
          <w:trHeight w:val="187"/>
        </w:trPr>
        <w:tc>
          <w:tcPr>
            <w:tcW w:w="1571" w:type="pct"/>
            <w:shd w:val="clear" w:color="auto" w:fill="auto"/>
            <w:tcMar>
              <w:top w:w="15" w:type="dxa"/>
              <w:left w:w="81" w:type="dxa"/>
              <w:bottom w:w="0" w:type="dxa"/>
              <w:right w:w="81" w:type="dxa"/>
            </w:tcMar>
            <w:hideMark/>
          </w:tcPr>
          <w:p w14:paraId="7016B278" w14:textId="77777777" w:rsidR="0014513E" w:rsidRPr="00A1115A" w:rsidRDefault="0014513E" w:rsidP="0014513E">
            <w:pPr>
              <w:pStyle w:val="TAC"/>
            </w:pPr>
            <w:r w:rsidRPr="00A1115A">
              <w:t>15</w:t>
            </w:r>
          </w:p>
        </w:tc>
        <w:tc>
          <w:tcPr>
            <w:tcW w:w="1714" w:type="pct"/>
          </w:tcPr>
          <w:p w14:paraId="31C98727" w14:textId="77777777" w:rsidR="0014513E" w:rsidRPr="004764AA" w:rsidRDefault="0014513E" w:rsidP="0014513E">
            <w:pPr>
              <w:pStyle w:val="TAC"/>
              <w:rPr>
                <w:rFonts w:cs="Arial"/>
                <w:szCs w:val="18"/>
              </w:rPr>
            </w:pPr>
            <w:r>
              <w:rPr>
                <w:rFonts w:cs="Arial"/>
                <w:szCs w:val="18"/>
              </w:rPr>
              <w:t>1</w:t>
            </w:r>
            <w:r w:rsidRPr="004764AA">
              <w:rPr>
                <w:rFonts w:cs="Arial"/>
                <w:szCs w:val="18"/>
              </w:rPr>
              <w:t>5</w:t>
            </w:r>
          </w:p>
        </w:tc>
        <w:tc>
          <w:tcPr>
            <w:tcW w:w="1716" w:type="pct"/>
            <w:shd w:val="clear" w:color="auto" w:fill="auto"/>
            <w:tcMar>
              <w:top w:w="15" w:type="dxa"/>
              <w:left w:w="81" w:type="dxa"/>
              <w:bottom w:w="0" w:type="dxa"/>
              <w:right w:w="81" w:type="dxa"/>
            </w:tcMar>
            <w:hideMark/>
          </w:tcPr>
          <w:p w14:paraId="1B52A9D4" w14:textId="77777777" w:rsidR="0014513E" w:rsidRPr="00A1115A" w:rsidRDefault="0014513E" w:rsidP="0014513E">
            <w:pPr>
              <w:pStyle w:val="TAC"/>
            </w:pPr>
            <w:r w:rsidRPr="004764AA">
              <w:rPr>
                <w:rFonts w:cs="Arial"/>
                <w:szCs w:val="18"/>
              </w:rPr>
              <w:t>25</w:t>
            </w:r>
          </w:p>
        </w:tc>
      </w:tr>
    </w:tbl>
    <w:p w14:paraId="78B84EE8" w14:textId="77777777" w:rsidR="0014513E" w:rsidRPr="0014513E" w:rsidRDefault="0014513E" w:rsidP="0014513E">
      <w:pPr>
        <w:pStyle w:val="TH"/>
        <w:ind w:left="820"/>
        <w:rPr>
          <w:sz w:val="16"/>
          <w:szCs w:val="16"/>
          <w:lang w:eastAsia="zh-CN"/>
        </w:rPr>
      </w:pPr>
      <w:r w:rsidRPr="0014513E">
        <w:rPr>
          <w:sz w:val="16"/>
          <w:szCs w:val="16"/>
        </w:rPr>
        <w:t xml:space="preserve">Table 5.3.2-1: </w:t>
      </w:r>
      <w:bookmarkEnd w:id="3"/>
      <w:r w:rsidRPr="0014513E">
        <w:rPr>
          <w:sz w:val="16"/>
          <w:szCs w:val="16"/>
        </w:rPr>
        <w:t>Maximum transmission bandwidth configuration N</w:t>
      </w:r>
      <w:r w:rsidRPr="0014513E">
        <w:rPr>
          <w:sz w:val="16"/>
          <w:szCs w:val="16"/>
          <w:vertAlign w:val="subscript"/>
        </w:rPr>
        <w:t>RB</w:t>
      </w:r>
    </w:p>
    <w:bookmarkEnd w:id="4"/>
    <w:p w14:paraId="446C27E0" w14:textId="77777777" w:rsidR="0014513E" w:rsidRDefault="0014513E" w:rsidP="0014513E">
      <w:pPr>
        <w:pStyle w:val="ListParagraph"/>
        <w:ind w:left="820"/>
        <w:rPr>
          <w:rFonts w:eastAsia="Yu Mincho"/>
        </w:rPr>
      </w:pPr>
    </w:p>
    <w:p w14:paraId="15A3E7D4" w14:textId="77777777" w:rsidR="0014513E" w:rsidRPr="0014513E" w:rsidRDefault="0014513E" w:rsidP="0014513E">
      <w:pPr>
        <w:pStyle w:val="ListParagraph"/>
        <w:ind w:left="820"/>
        <w:rPr>
          <w:rFonts w:eastAsia="Yu Mincho"/>
        </w:rPr>
      </w:pPr>
    </w:p>
    <w:p w14:paraId="08AD3AE0" w14:textId="77777777" w:rsidR="0014513E" w:rsidRDefault="0014513E" w:rsidP="0014513E">
      <w:pPr>
        <w:pStyle w:val="BodyText"/>
        <w:ind w:left="820"/>
        <w:rPr>
          <w:rFonts w:ascii="Times New Roman" w:hAnsi="Times New Roman"/>
        </w:rPr>
      </w:pPr>
    </w:p>
    <w:p w14:paraId="5CE3B632" w14:textId="0E206CD1" w:rsidR="007A5A4D" w:rsidRPr="0022232E" w:rsidRDefault="0014513E" w:rsidP="0022232E">
      <w:pPr>
        <w:pStyle w:val="BodyText"/>
        <w:numPr>
          <w:ilvl w:val="0"/>
          <w:numId w:val="40"/>
        </w:numPr>
        <w:rPr>
          <w:rFonts w:ascii="Times New Roman" w:hAnsi="Times New Roman"/>
        </w:rPr>
      </w:pPr>
      <w:r>
        <w:rPr>
          <w:rFonts w:ascii="Times New Roman" w:hAnsi="Times New Roman"/>
        </w:rPr>
        <w:t xml:space="preserve">The term “Transmission Bandwidth” </w:t>
      </w:r>
      <w:r w:rsidR="00DE443A">
        <w:rPr>
          <w:rFonts w:ascii="Times New Roman" w:hAnsi="Times New Roman"/>
        </w:rPr>
        <w:t>is defined</w:t>
      </w:r>
      <w:r>
        <w:rPr>
          <w:rFonts w:ascii="Times New Roman" w:hAnsi="Times New Roman"/>
        </w:rPr>
        <w:t xml:space="preserve"> terms of Resource Blocks (RB).</w:t>
      </w:r>
      <w:r w:rsidR="0022232E" w:rsidRPr="0022232E">
        <w:rPr>
          <w:rFonts w:ascii="Times New Roman" w:hAnsi="Times New Roman"/>
        </w:rPr>
        <w:t xml:space="preserve"> </w:t>
      </w:r>
    </w:p>
    <w:p w14:paraId="47C2BBCA" w14:textId="7BCFE081" w:rsidR="00435F91" w:rsidRDefault="00435F91" w:rsidP="00435F91">
      <w:pPr>
        <w:pStyle w:val="Observation"/>
        <w:ind w:left="1701" w:hanging="1701"/>
      </w:pPr>
      <w:bookmarkStart w:id="5" w:name="_Toc181352644"/>
      <w:bookmarkStart w:id="6" w:name="_Toc181971076"/>
      <w:r>
        <w:t xml:space="preserve">It is paramount </w:t>
      </w:r>
      <w:r w:rsidR="007A5A4D">
        <w:t>gett</w:t>
      </w:r>
      <w:r>
        <w:t xml:space="preserve">ing a common understanding of the terminology used </w:t>
      </w:r>
      <w:r w:rsidR="00E948BD">
        <w:t>for the support of</w:t>
      </w:r>
      <w:r>
        <w:t xml:space="preserve"> “LessThan</w:t>
      </w:r>
      <w:r w:rsidR="00E948BD">
        <w:t>5MHzFR1</w:t>
      </w:r>
      <w:r>
        <w:t>”</w:t>
      </w:r>
      <w:r w:rsidR="00E948BD">
        <w:t>:</w:t>
      </w:r>
      <w:bookmarkEnd w:id="5"/>
      <w:bookmarkEnd w:id="6"/>
      <w:r>
        <w:t xml:space="preserve"> </w:t>
      </w:r>
    </w:p>
    <w:p w14:paraId="6845B35D" w14:textId="77777777" w:rsidR="00E948BD" w:rsidRDefault="00E948BD" w:rsidP="00E948BD">
      <w:pPr>
        <w:pStyle w:val="Observation"/>
        <w:numPr>
          <w:ilvl w:val="2"/>
          <w:numId w:val="40"/>
        </w:numPr>
      </w:pPr>
      <w:bookmarkStart w:id="7" w:name="_Toc181352645"/>
      <w:bookmarkStart w:id="8" w:name="_Toc181971077"/>
      <w:r>
        <w:t>The t</w:t>
      </w:r>
      <w:r w:rsidR="00435F91">
        <w:t xml:space="preserve">erm </w:t>
      </w:r>
      <w:r w:rsidR="00435F91" w:rsidRPr="00435F91">
        <w:t>“Channel Bandwidth” is expressed in terms of MHz</w:t>
      </w:r>
      <w:r>
        <w:t>.</w:t>
      </w:r>
      <w:bookmarkEnd w:id="7"/>
      <w:bookmarkEnd w:id="8"/>
    </w:p>
    <w:p w14:paraId="1E42EADF" w14:textId="77777777" w:rsidR="006C1E6A" w:rsidRDefault="00435F91" w:rsidP="006C1E6A">
      <w:pPr>
        <w:pStyle w:val="Observation"/>
        <w:numPr>
          <w:ilvl w:val="2"/>
          <w:numId w:val="40"/>
        </w:numPr>
      </w:pPr>
      <w:bookmarkStart w:id="9" w:name="_Toc181352646"/>
      <w:bookmarkStart w:id="10" w:name="_Toc181971078"/>
      <w:r w:rsidRPr="00435F91">
        <w:t>“Transmission Bandwidth Configuration N</w:t>
      </w:r>
      <w:r w:rsidRPr="00435F91">
        <w:rPr>
          <w:vertAlign w:val="subscript"/>
        </w:rPr>
        <w:t>RB</w:t>
      </w:r>
      <w:r w:rsidRPr="00435F91">
        <w:t>” refers to the “maximum transmission bandwidth” and</w:t>
      </w:r>
      <w:r w:rsidR="00E948BD">
        <w:t xml:space="preserve"> is defined in Table 5.3.2-1 of TS 38.101-1.</w:t>
      </w:r>
      <w:bookmarkEnd w:id="9"/>
      <w:bookmarkEnd w:id="10"/>
    </w:p>
    <w:p w14:paraId="0A741361" w14:textId="77777777" w:rsidR="006C1E6A" w:rsidRDefault="006C1E6A" w:rsidP="006C1E6A">
      <w:pPr>
        <w:pStyle w:val="Observation"/>
        <w:numPr>
          <w:ilvl w:val="3"/>
          <w:numId w:val="40"/>
        </w:numPr>
      </w:pPr>
      <w:bookmarkStart w:id="11" w:name="_Toc181352647"/>
      <w:bookmarkStart w:id="12" w:name="_Toc181971079"/>
      <w:r>
        <w:t>For 3 MHz CBW used along with a 15 kHz SCS, N</w:t>
      </w:r>
      <w:r w:rsidRPr="00E948BD">
        <w:rPr>
          <w:vertAlign w:val="subscript"/>
        </w:rPr>
        <w:t>RB</w:t>
      </w:r>
      <w:r>
        <w:t xml:space="preserve"> = 15.</w:t>
      </w:r>
      <w:bookmarkEnd w:id="11"/>
      <w:bookmarkEnd w:id="12"/>
    </w:p>
    <w:p w14:paraId="1213536C" w14:textId="784AACAB" w:rsidR="006C1E6A" w:rsidRDefault="006C1E6A" w:rsidP="006C1E6A">
      <w:pPr>
        <w:pStyle w:val="Observation"/>
        <w:numPr>
          <w:ilvl w:val="3"/>
          <w:numId w:val="40"/>
        </w:numPr>
      </w:pPr>
      <w:bookmarkStart w:id="13" w:name="_Toc181352648"/>
      <w:bookmarkStart w:id="14" w:name="_Toc181971080"/>
      <w:r>
        <w:t>For 5 MHz CBW used along with a 15 kHz SCS, N</w:t>
      </w:r>
      <w:r w:rsidRPr="00E948BD">
        <w:rPr>
          <w:vertAlign w:val="subscript"/>
        </w:rPr>
        <w:t>RB</w:t>
      </w:r>
      <w:r>
        <w:t xml:space="preserve"> = 25.</w:t>
      </w:r>
      <w:bookmarkEnd w:id="13"/>
      <w:bookmarkEnd w:id="14"/>
    </w:p>
    <w:p w14:paraId="6E6601F0" w14:textId="5C6BCC98" w:rsidR="00E948BD" w:rsidRPr="006C1E6A" w:rsidRDefault="00E948BD" w:rsidP="006C1E6A">
      <w:pPr>
        <w:pStyle w:val="Observation"/>
        <w:numPr>
          <w:ilvl w:val="2"/>
          <w:numId w:val="40"/>
        </w:numPr>
      </w:pPr>
      <w:bookmarkStart w:id="15" w:name="_Toc181352649"/>
      <w:bookmarkStart w:id="16" w:name="_Toc181971081"/>
      <w:r w:rsidRPr="006C1E6A">
        <w:t>The term “Transmission Bandwidth” is defined</w:t>
      </w:r>
      <w:r w:rsidR="00837B92">
        <w:t xml:space="preserve"> in</w:t>
      </w:r>
      <w:r w:rsidRPr="006C1E6A">
        <w:t xml:space="preserve"> terms of Resource Blocks (RB).</w:t>
      </w:r>
      <w:bookmarkEnd w:id="15"/>
      <w:bookmarkEnd w:id="16"/>
    </w:p>
    <w:p w14:paraId="154C5DC8" w14:textId="282810AE" w:rsidR="00755F66" w:rsidRDefault="00DE443A" w:rsidP="004F1FCD">
      <w:pPr>
        <w:pStyle w:val="BodyText"/>
        <w:rPr>
          <w:rFonts w:ascii="Times New Roman" w:hAnsi="Times New Roman"/>
        </w:rPr>
      </w:pPr>
      <w:r>
        <w:rPr>
          <w:rFonts w:ascii="Times New Roman" w:hAnsi="Times New Roman"/>
        </w:rPr>
        <w:t>Now let us illustrate the use cases introduced in Rel-18 for the support of “LessThan5MHzFR1” for</w:t>
      </w:r>
      <w:r w:rsidR="00CA3DCE">
        <w:rPr>
          <w:rFonts w:ascii="Times New Roman" w:hAnsi="Times New Roman"/>
        </w:rPr>
        <w:t xml:space="preserve"> a</w:t>
      </w:r>
      <w:r>
        <w:rPr>
          <w:rFonts w:ascii="Times New Roman" w:hAnsi="Times New Roman"/>
        </w:rPr>
        <w:t xml:space="preserve"> 3 MHz Channel Bandwidth</w:t>
      </w:r>
      <w:r w:rsidR="00755F66">
        <w:rPr>
          <w:rFonts w:ascii="Times New Roman" w:hAnsi="Times New Roman"/>
        </w:rPr>
        <w:t>.</w:t>
      </w:r>
    </w:p>
    <w:tbl>
      <w:tblPr>
        <w:tblStyle w:val="TableGrid"/>
        <w:tblW w:w="0" w:type="auto"/>
        <w:tblLook w:val="04A0" w:firstRow="1" w:lastRow="0" w:firstColumn="1" w:lastColumn="0" w:noHBand="0" w:noVBand="1"/>
      </w:tblPr>
      <w:tblGrid>
        <w:gridCol w:w="4814"/>
        <w:gridCol w:w="4815"/>
      </w:tblGrid>
      <w:tr w:rsidR="00755F66" w14:paraId="08F51B1B" w14:textId="77777777" w:rsidTr="00755F66">
        <w:tc>
          <w:tcPr>
            <w:tcW w:w="4814" w:type="dxa"/>
          </w:tcPr>
          <w:p w14:paraId="039D9B47" w14:textId="77777777" w:rsidR="00755F66" w:rsidRDefault="00755F66" w:rsidP="004F1FCD">
            <w:pPr>
              <w:pStyle w:val="BodyText"/>
            </w:pPr>
            <w:r>
              <w:t>A)</w:t>
            </w:r>
          </w:p>
          <w:p w14:paraId="24B96BA3" w14:textId="3F1CC896" w:rsidR="00755F66" w:rsidRDefault="00755F66" w:rsidP="004F1FCD">
            <w:pPr>
              <w:pStyle w:val="BodyText"/>
              <w:rPr>
                <w:rFonts w:ascii="Times New Roman" w:hAnsi="Times New Roman"/>
              </w:rPr>
            </w:pPr>
            <w:r>
              <w:rPr>
                <w:rFonts w:eastAsia="SimSun"/>
                <w:sz w:val="20"/>
                <w:szCs w:val="20"/>
                <w:lang w:val="en-GB"/>
              </w:rPr>
              <w:object w:dxaOrig="4670" w:dyaOrig="2260" w14:anchorId="505A9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13pt" o:ole="">
                  <v:imagedata r:id="rId12" o:title=""/>
                </v:shape>
                <o:OLEObject Type="Embed" ProgID="PBrush" ShapeID="_x0000_i1025" DrawAspect="Content" ObjectID="_1792584490" r:id="rId13"/>
              </w:object>
            </w:r>
          </w:p>
        </w:tc>
        <w:tc>
          <w:tcPr>
            <w:tcW w:w="4815" w:type="dxa"/>
          </w:tcPr>
          <w:p w14:paraId="2EE5181D" w14:textId="77777777" w:rsidR="00755F66" w:rsidRDefault="00755F66" w:rsidP="004F1FCD">
            <w:pPr>
              <w:pStyle w:val="BodyText"/>
            </w:pPr>
            <w:r>
              <w:t>B)</w:t>
            </w:r>
          </w:p>
          <w:p w14:paraId="7862FF9D" w14:textId="55D7CAAA" w:rsidR="00755F66" w:rsidRDefault="00755F66" w:rsidP="004F1FCD">
            <w:pPr>
              <w:pStyle w:val="BodyText"/>
              <w:rPr>
                <w:rFonts w:ascii="Times New Roman" w:hAnsi="Times New Roman"/>
              </w:rPr>
            </w:pPr>
            <w:r>
              <w:rPr>
                <w:rFonts w:eastAsia="SimSun"/>
                <w:sz w:val="20"/>
                <w:szCs w:val="20"/>
                <w:lang w:val="en-GB"/>
              </w:rPr>
              <w:object w:dxaOrig="4670" w:dyaOrig="2260" w14:anchorId="25DACC2E">
                <v:shape id="_x0000_i1026" type="#_x0000_t75" style="width:231.5pt;height:113pt" o:ole="">
                  <v:imagedata r:id="rId14" o:title=""/>
                </v:shape>
                <o:OLEObject Type="Embed" ProgID="PBrush" ShapeID="_x0000_i1026" DrawAspect="Content" ObjectID="_1792584491" r:id="rId15"/>
              </w:object>
            </w:r>
          </w:p>
        </w:tc>
      </w:tr>
    </w:tbl>
    <w:p w14:paraId="711ECDF1" w14:textId="5D7F2EBC" w:rsidR="00CC31BF" w:rsidRPr="00755F66" w:rsidRDefault="00755F66" w:rsidP="004F1FCD">
      <w:pPr>
        <w:pStyle w:val="BodyText"/>
        <w:rPr>
          <w:rFonts w:ascii="Times New Roman" w:hAnsi="Times New Roman"/>
          <w:b/>
          <w:bCs/>
        </w:rPr>
      </w:pPr>
      <w:r>
        <w:rPr>
          <w:rFonts w:ascii="Times New Roman" w:hAnsi="Times New Roman"/>
        </w:rPr>
        <w:t xml:space="preserve"> </w:t>
      </w:r>
      <w:r w:rsidRPr="00755F66">
        <w:rPr>
          <w:rFonts w:eastAsia="Yu Mincho"/>
          <w:b/>
          <w:bCs/>
          <w:sz w:val="16"/>
          <w:szCs w:val="16"/>
        </w:rPr>
        <w:t xml:space="preserve">Figure </w:t>
      </w:r>
      <w:r>
        <w:rPr>
          <w:rFonts w:eastAsia="Yu Mincho"/>
          <w:b/>
          <w:bCs/>
          <w:sz w:val="16"/>
          <w:szCs w:val="16"/>
        </w:rPr>
        <w:t>2</w:t>
      </w:r>
      <w:r w:rsidRPr="00755F66">
        <w:rPr>
          <w:rFonts w:eastAsia="Yu Mincho"/>
          <w:b/>
          <w:bCs/>
          <w:sz w:val="16"/>
          <w:szCs w:val="16"/>
        </w:rPr>
        <w:t xml:space="preserve">: </w:t>
      </w:r>
      <w:r>
        <w:rPr>
          <w:rFonts w:eastAsia="Yu Mincho"/>
          <w:b/>
          <w:bCs/>
          <w:sz w:val="16"/>
          <w:szCs w:val="16"/>
        </w:rPr>
        <w:t xml:space="preserve">Use cases under the RF framework of a 3 MHz channel bandwidth: A) For NR bands </w:t>
      </w:r>
      <w:r w:rsidRPr="00755F66">
        <w:rPr>
          <w:rFonts w:eastAsia="Yu Mincho"/>
          <w:b/>
          <w:bCs/>
          <w:sz w:val="16"/>
          <w:szCs w:val="16"/>
        </w:rPr>
        <w:t xml:space="preserve">n100, n106, n26, n28 and n85 </w:t>
      </w:r>
      <w:r>
        <w:rPr>
          <w:rFonts w:eastAsia="Yu Mincho"/>
          <w:b/>
          <w:bCs/>
          <w:sz w:val="16"/>
          <w:szCs w:val="16"/>
        </w:rPr>
        <w:t xml:space="preserve">Transmission/Reception can span up to the maximum transmission bandwidth (i.e., </w:t>
      </w:r>
      <w:r w:rsidR="0019482F">
        <w:rPr>
          <w:rFonts w:eastAsia="Yu Mincho"/>
          <w:b/>
          <w:bCs/>
          <w:sz w:val="16"/>
          <w:szCs w:val="16"/>
        </w:rPr>
        <w:t>N</w:t>
      </w:r>
      <w:r w:rsidR="0019482F" w:rsidRPr="0019482F">
        <w:rPr>
          <w:rFonts w:eastAsia="Yu Mincho"/>
          <w:b/>
          <w:bCs/>
          <w:sz w:val="16"/>
          <w:szCs w:val="16"/>
          <w:vertAlign w:val="subscript"/>
        </w:rPr>
        <w:t>RB</w:t>
      </w:r>
      <w:r w:rsidR="0019482F">
        <w:rPr>
          <w:rFonts w:eastAsia="Yu Mincho"/>
          <w:b/>
          <w:bCs/>
          <w:sz w:val="16"/>
          <w:szCs w:val="16"/>
        </w:rPr>
        <w:t xml:space="preserve"> = </w:t>
      </w:r>
      <w:r>
        <w:rPr>
          <w:rFonts w:eastAsia="Yu Mincho"/>
          <w:b/>
          <w:bCs/>
          <w:sz w:val="16"/>
          <w:szCs w:val="16"/>
        </w:rPr>
        <w:t>15 PRBs), and B) For NR band n100 and only</w:t>
      </w:r>
      <w:r w:rsidR="007F05AB">
        <w:rPr>
          <w:rFonts w:eastAsia="Yu Mincho"/>
          <w:b/>
          <w:bCs/>
          <w:sz w:val="16"/>
          <w:szCs w:val="16"/>
        </w:rPr>
        <w:t xml:space="preserve"> for a sync raster frequency at </w:t>
      </w:r>
      <w:r w:rsidR="007F05AB" w:rsidRPr="007F05AB">
        <w:rPr>
          <w:rFonts w:eastAsia="Yu Mincho"/>
          <w:b/>
          <w:bCs/>
          <w:sz w:val="16"/>
          <w:szCs w:val="16"/>
        </w:rPr>
        <w:t>920.73</w:t>
      </w:r>
      <w:r w:rsidR="007F05AB">
        <w:rPr>
          <w:rFonts w:eastAsia="Yu Mincho"/>
          <w:b/>
          <w:bCs/>
          <w:sz w:val="16"/>
          <w:szCs w:val="16"/>
        </w:rPr>
        <w:t xml:space="preserve"> MHz,</w:t>
      </w:r>
      <w:r>
        <w:rPr>
          <w:rFonts w:eastAsia="Yu Mincho"/>
          <w:b/>
          <w:bCs/>
          <w:sz w:val="16"/>
          <w:szCs w:val="16"/>
        </w:rPr>
        <w:t xml:space="preserve"> Transmission/Reception can span through a proper scheduling up to 12-PRBs within maximum transmission bandwidth</w:t>
      </w:r>
      <w:r w:rsidR="0019482F">
        <w:rPr>
          <w:rFonts w:eastAsia="Yu Mincho"/>
          <w:b/>
          <w:bCs/>
          <w:sz w:val="16"/>
          <w:szCs w:val="16"/>
        </w:rPr>
        <w:t xml:space="preserve"> (i.e., N</w:t>
      </w:r>
      <w:r w:rsidR="0019482F" w:rsidRPr="0019482F">
        <w:rPr>
          <w:rFonts w:eastAsia="Yu Mincho"/>
          <w:b/>
          <w:bCs/>
          <w:sz w:val="16"/>
          <w:szCs w:val="16"/>
          <w:vertAlign w:val="subscript"/>
        </w:rPr>
        <w:t>RB</w:t>
      </w:r>
      <w:r w:rsidR="0019482F">
        <w:rPr>
          <w:rFonts w:eastAsia="Yu Mincho"/>
          <w:b/>
          <w:bCs/>
          <w:sz w:val="16"/>
          <w:szCs w:val="16"/>
        </w:rPr>
        <w:t xml:space="preserve"> = 15 PRBs)</w:t>
      </w:r>
      <w:r>
        <w:rPr>
          <w:rFonts w:eastAsia="Yu Mincho"/>
          <w:b/>
          <w:bCs/>
          <w:sz w:val="16"/>
          <w:szCs w:val="16"/>
        </w:rPr>
        <w:t>.</w:t>
      </w:r>
    </w:p>
    <w:p w14:paraId="75AA9A61" w14:textId="4E1A02A0" w:rsidR="0019482F" w:rsidRDefault="007F05AB" w:rsidP="004F1FCD">
      <w:pPr>
        <w:pStyle w:val="BodyText"/>
        <w:rPr>
          <w:rFonts w:ascii="Times New Roman" w:hAnsi="Times New Roman"/>
        </w:rPr>
      </w:pPr>
      <w:r>
        <w:rPr>
          <w:rFonts w:ascii="Times New Roman" w:hAnsi="Times New Roman"/>
        </w:rPr>
        <w:lastRenderedPageBreak/>
        <w:t>The RAN2 LS states “</w:t>
      </w:r>
      <w:r w:rsidRPr="007F05AB">
        <w:rPr>
          <w:rFonts w:ascii="Times New Roman" w:hAnsi="Times New Roman"/>
          <w:i/>
          <w:iCs/>
        </w:rPr>
        <w:t>to avoid unnecessary cell barring, from RAN2 perspective, the network needs to set carrierBandwidth to a value equal or larger than 15 PRB for the 12 PRB case and a value equal or larger than 25 PRB for the 20 PRB case</w:t>
      </w:r>
      <w:r>
        <w:rPr>
          <w:rFonts w:ascii="Times New Roman" w:hAnsi="Times New Roman"/>
        </w:rPr>
        <w:t>”</w:t>
      </w:r>
      <w:r w:rsidR="0022232E">
        <w:rPr>
          <w:rFonts w:ascii="Times New Roman" w:hAnsi="Times New Roman"/>
        </w:rPr>
        <w:t>.</w:t>
      </w:r>
      <w:r>
        <w:rPr>
          <w:rFonts w:ascii="Times New Roman" w:hAnsi="Times New Roman"/>
        </w:rPr>
        <w:t xml:space="preserve"> </w:t>
      </w:r>
      <w:r w:rsidR="0022232E">
        <w:rPr>
          <w:rFonts w:ascii="Times New Roman" w:hAnsi="Times New Roman"/>
        </w:rPr>
        <w:t>In relation with it, a</w:t>
      </w:r>
      <w:r>
        <w:rPr>
          <w:rFonts w:ascii="Times New Roman" w:hAnsi="Times New Roman"/>
        </w:rPr>
        <w:t xml:space="preserve">s depicted in Figure 2, </w:t>
      </w:r>
      <w:r w:rsidRPr="007F05AB">
        <w:rPr>
          <w:rFonts w:ascii="Times New Roman" w:hAnsi="Times New Roman"/>
          <w:b/>
          <w:bCs/>
        </w:rPr>
        <w:t>N</w:t>
      </w:r>
      <w:r w:rsidRPr="007F05AB">
        <w:rPr>
          <w:rFonts w:ascii="Times New Roman" w:hAnsi="Times New Roman"/>
          <w:b/>
          <w:bCs/>
          <w:vertAlign w:val="subscript"/>
        </w:rPr>
        <w:t>RB</w:t>
      </w:r>
      <w:r>
        <w:rPr>
          <w:rFonts w:ascii="Times New Roman" w:hAnsi="Times New Roman"/>
        </w:rPr>
        <w:t xml:space="preserve"> is equal to 15 PRBs for both </w:t>
      </w:r>
      <w:proofErr w:type="gramStart"/>
      <w:r>
        <w:rPr>
          <w:rFonts w:ascii="Times New Roman" w:hAnsi="Times New Roman"/>
        </w:rPr>
        <w:t>transmission/reception</w:t>
      </w:r>
      <w:proofErr w:type="gramEnd"/>
      <w:r>
        <w:rPr>
          <w:rFonts w:ascii="Times New Roman" w:hAnsi="Times New Roman"/>
        </w:rPr>
        <w:t xml:space="preserve"> spanning up to 15 PRBs and </w:t>
      </w:r>
      <w:r w:rsidR="005131A0">
        <w:rPr>
          <w:rFonts w:ascii="Times New Roman" w:hAnsi="Times New Roman"/>
        </w:rPr>
        <w:t xml:space="preserve">for </w:t>
      </w:r>
      <w:r>
        <w:rPr>
          <w:rFonts w:ascii="Times New Roman" w:hAnsi="Times New Roman"/>
        </w:rPr>
        <w:t xml:space="preserve">transmission/reception </w:t>
      </w:r>
      <w:r w:rsidR="005131A0">
        <w:rPr>
          <w:rFonts w:ascii="Times New Roman" w:hAnsi="Times New Roman"/>
        </w:rPr>
        <w:t>confined</w:t>
      </w:r>
      <w:r>
        <w:rPr>
          <w:rFonts w:ascii="Times New Roman" w:hAnsi="Times New Roman"/>
        </w:rPr>
        <w:t xml:space="preserve"> (via scheduling) up to 12 PRBs</w:t>
      </w:r>
      <w:r w:rsidR="00745A27">
        <w:rPr>
          <w:rFonts w:ascii="Times New Roman" w:hAnsi="Times New Roman"/>
        </w:rPr>
        <w:t xml:space="preserve">. </w:t>
      </w:r>
      <w:r w:rsidR="005131A0">
        <w:rPr>
          <w:rFonts w:ascii="Times New Roman" w:hAnsi="Times New Roman"/>
        </w:rPr>
        <w:t xml:space="preserve">Please note that in Table 5.3.2-1 of TS 38.101-1, </w:t>
      </w:r>
      <w:r w:rsidR="005131A0" w:rsidRPr="007F05AB">
        <w:rPr>
          <w:rFonts w:ascii="Times New Roman" w:hAnsi="Times New Roman"/>
          <w:b/>
          <w:bCs/>
        </w:rPr>
        <w:t>N</w:t>
      </w:r>
      <w:r w:rsidR="005131A0" w:rsidRPr="007F05AB">
        <w:rPr>
          <w:rFonts w:ascii="Times New Roman" w:hAnsi="Times New Roman"/>
          <w:b/>
          <w:bCs/>
          <w:vertAlign w:val="subscript"/>
        </w:rPr>
        <w:t>RB</w:t>
      </w:r>
      <w:r w:rsidR="005131A0">
        <w:rPr>
          <w:rFonts w:ascii="Times New Roman" w:hAnsi="Times New Roman"/>
        </w:rPr>
        <w:t xml:space="preserve"> = 15 is the only available value for a 3 MHz channel bandwidth</w:t>
      </w:r>
      <w:r w:rsidR="00435F91">
        <w:rPr>
          <w:rFonts w:ascii="Times New Roman" w:hAnsi="Times New Roman"/>
        </w:rPr>
        <w:t xml:space="preserve"> using 15 kHz SCS</w:t>
      </w:r>
      <w:r>
        <w:rPr>
          <w:rFonts w:ascii="Times New Roman" w:hAnsi="Times New Roman"/>
        </w:rPr>
        <w:t>.</w:t>
      </w:r>
    </w:p>
    <w:p w14:paraId="021A54B7" w14:textId="66CEEDBB" w:rsidR="002067E8" w:rsidRDefault="002067E8" w:rsidP="002067E8">
      <w:pPr>
        <w:pStyle w:val="Observation"/>
      </w:pPr>
      <w:bookmarkStart w:id="17" w:name="_Toc181352650"/>
      <w:bookmarkStart w:id="18" w:name="_Toc181971082"/>
      <w:r>
        <w:t>U</w:t>
      </w:r>
      <w:r w:rsidRPr="002067E8">
        <w:t>nder the RF framework of a 3 MHz channel bandwidth</w:t>
      </w:r>
      <w:r>
        <w:t xml:space="preserve"> there are two use cases</w:t>
      </w:r>
      <w:r w:rsidRPr="002067E8">
        <w:t>:</w:t>
      </w:r>
      <w:bookmarkEnd w:id="17"/>
      <w:bookmarkEnd w:id="18"/>
    </w:p>
    <w:p w14:paraId="12FA167A" w14:textId="7EE1EF22" w:rsidR="002067E8" w:rsidRDefault="002067E8" w:rsidP="002067E8">
      <w:pPr>
        <w:pStyle w:val="Observation"/>
        <w:numPr>
          <w:ilvl w:val="0"/>
          <w:numId w:val="45"/>
        </w:numPr>
      </w:pPr>
      <w:bookmarkStart w:id="19" w:name="_Toc181352651"/>
      <w:bookmarkStart w:id="20" w:name="_Toc181971083"/>
      <w:r w:rsidRPr="002067E8">
        <w:t>For NR bands n100, n106, n26, n28 and n85</w:t>
      </w:r>
      <w:r>
        <w:t>, the</w:t>
      </w:r>
      <w:r w:rsidRPr="002067E8">
        <w:t xml:space="preserve"> </w:t>
      </w:r>
      <w:r>
        <w:t>t</w:t>
      </w:r>
      <w:r w:rsidRPr="002067E8">
        <w:t>ransmission/</w:t>
      </w:r>
      <w:r>
        <w:t>r</w:t>
      </w:r>
      <w:r w:rsidRPr="002067E8">
        <w:t>eception can span up to the maximum transmission bandwidth (i.e., N</w:t>
      </w:r>
      <w:r w:rsidRPr="00646E7B">
        <w:rPr>
          <w:vertAlign w:val="subscript"/>
        </w:rPr>
        <w:t>RB</w:t>
      </w:r>
      <w:r w:rsidRPr="002067E8">
        <w:t xml:space="preserve"> = 15 PRBs)</w:t>
      </w:r>
      <w:bookmarkEnd w:id="19"/>
      <w:bookmarkEnd w:id="20"/>
    </w:p>
    <w:p w14:paraId="3DE44E80" w14:textId="11AE4C60" w:rsidR="002067E8" w:rsidRDefault="002067E8" w:rsidP="002067E8">
      <w:pPr>
        <w:pStyle w:val="Observation"/>
        <w:numPr>
          <w:ilvl w:val="0"/>
          <w:numId w:val="45"/>
        </w:numPr>
      </w:pPr>
      <w:bookmarkStart w:id="21" w:name="_Toc181352652"/>
      <w:bookmarkStart w:id="22" w:name="_Toc181971084"/>
      <w:r w:rsidRPr="002067E8">
        <w:t xml:space="preserve">For NR band n100 and only for a sync raster frequency at 920.73 MHz, </w:t>
      </w:r>
      <w:r>
        <w:t>the t</w:t>
      </w:r>
      <w:r w:rsidRPr="002067E8">
        <w:t>ransmission/</w:t>
      </w:r>
      <w:r>
        <w:t>r</w:t>
      </w:r>
      <w:r w:rsidRPr="002067E8">
        <w:t xml:space="preserve">eception can span </w:t>
      </w:r>
      <w:r>
        <w:t>(</w:t>
      </w:r>
      <w:r w:rsidRPr="002067E8">
        <w:t>through a proper scheduling</w:t>
      </w:r>
      <w:r>
        <w:t>)</w:t>
      </w:r>
      <w:r w:rsidRPr="002067E8">
        <w:t xml:space="preserve"> up to 12-PRBs within </w:t>
      </w:r>
      <w:r w:rsidR="00480223">
        <w:t xml:space="preserve">the </w:t>
      </w:r>
      <w:r w:rsidRPr="002067E8">
        <w:t>maximum transmission bandwidth (i.e., N</w:t>
      </w:r>
      <w:r w:rsidRPr="00646E7B">
        <w:rPr>
          <w:vertAlign w:val="subscript"/>
        </w:rPr>
        <w:t>RB</w:t>
      </w:r>
      <w:r w:rsidRPr="002067E8">
        <w:t xml:space="preserve"> = 15 PRBs).</w:t>
      </w:r>
      <w:bookmarkEnd w:id="21"/>
      <w:bookmarkEnd w:id="22"/>
    </w:p>
    <w:p w14:paraId="11C5B71B" w14:textId="3CCF86F1" w:rsidR="00BD66A1" w:rsidRDefault="0FD71445" w:rsidP="00BD66A1">
      <w:pPr>
        <w:pStyle w:val="Observation"/>
        <w:ind w:left="1701" w:hanging="1701"/>
      </w:pPr>
      <w:bookmarkStart w:id="23" w:name="_Toc181352653"/>
      <w:bookmarkStart w:id="24" w:name="_Toc181971085"/>
      <w:r>
        <w:t>The RAN2 LS states “</w:t>
      </w:r>
      <w:r w:rsidRPr="6F255528">
        <w:rPr>
          <w:i/>
          <w:iCs/>
          <w:color w:val="7F7F7F" w:themeColor="text1" w:themeTint="80"/>
        </w:rPr>
        <w:t>to avoid unnecessary cell barring, from RAN2 perspective, the network needs to set carrierBandwidth to a value equal or larger than 15 PRB for the 12 PRB case</w:t>
      </w:r>
      <w:r>
        <w:t>”.</w:t>
      </w:r>
      <w:r w:rsidR="0022232E">
        <w:t xml:space="preserve"> In relation with it, in this case the “carrierBandwidth” refers to the maximum transmission bandwidth, and on that matter </w:t>
      </w:r>
      <w:r w:rsidR="0022232E" w:rsidRPr="0022232E">
        <w:t>N</w:t>
      </w:r>
      <w:r w:rsidR="0022232E" w:rsidRPr="0022232E">
        <w:rPr>
          <w:vertAlign w:val="subscript"/>
        </w:rPr>
        <w:t>RB</w:t>
      </w:r>
      <w:r w:rsidR="0022232E" w:rsidRPr="0022232E">
        <w:t xml:space="preserve"> </w:t>
      </w:r>
      <w:r w:rsidR="0022232E">
        <w:t>=</w:t>
      </w:r>
      <w:r w:rsidR="0022232E" w:rsidRPr="0022232E">
        <w:t xml:space="preserve"> 15 PRBs for both </w:t>
      </w:r>
      <w:proofErr w:type="gramStart"/>
      <w:r w:rsidR="0022232E" w:rsidRPr="0022232E">
        <w:t>transmission/reception</w:t>
      </w:r>
      <w:proofErr w:type="gramEnd"/>
      <w:r w:rsidR="0022232E" w:rsidRPr="0022232E">
        <w:t xml:space="preserve"> spanning up to 15 PRBs and for transmission/reception confined (via scheduling) up to 12 PRBs.</w:t>
      </w:r>
      <w:bookmarkEnd w:id="23"/>
      <w:bookmarkEnd w:id="24"/>
    </w:p>
    <w:p w14:paraId="79F5B39A" w14:textId="221A5CA8" w:rsidR="00646E7B" w:rsidRDefault="00646E7B" w:rsidP="00646E7B">
      <w:pPr>
        <w:pStyle w:val="Observation"/>
        <w:numPr>
          <w:ilvl w:val="0"/>
          <w:numId w:val="46"/>
        </w:numPr>
      </w:pPr>
      <w:bookmarkStart w:id="25" w:name="_Toc181352654"/>
      <w:bookmarkStart w:id="26" w:name="_Toc181971086"/>
      <w:r>
        <w:t>For 3 MHz CBW with 15 kHz SCS, N</w:t>
      </w:r>
      <w:r w:rsidRPr="00646E7B">
        <w:rPr>
          <w:vertAlign w:val="subscript"/>
        </w:rPr>
        <w:t>RB</w:t>
      </w:r>
      <w:r>
        <w:t xml:space="preserve"> = 15 is the only value in </w:t>
      </w:r>
      <w:r w:rsidRPr="00646E7B">
        <w:t>Table 5.3.2-1 of TS 38.101-1</w:t>
      </w:r>
      <w:r>
        <w:t>.</w:t>
      </w:r>
      <w:bookmarkEnd w:id="25"/>
      <w:bookmarkEnd w:id="26"/>
    </w:p>
    <w:p w14:paraId="0F6B5EDB" w14:textId="02910DA9" w:rsidR="0019482F" w:rsidRDefault="0019482F" w:rsidP="0019482F">
      <w:pPr>
        <w:pStyle w:val="BodyText"/>
        <w:rPr>
          <w:rFonts w:ascii="Times New Roman" w:hAnsi="Times New Roman"/>
        </w:rPr>
      </w:pPr>
      <w:r w:rsidRPr="00CA3DCE">
        <w:rPr>
          <w:rFonts w:ascii="Times New Roman" w:hAnsi="Times New Roman"/>
        </w:rPr>
        <w:t>Similarly, now let us i</w:t>
      </w:r>
      <w:r>
        <w:rPr>
          <w:rFonts w:ascii="Times New Roman" w:hAnsi="Times New Roman"/>
        </w:rPr>
        <w:t>llustrate the use cases introduced in Rel-18 for the support of “LessThan5MHzFR1” for a 5 MHz Channel Bandwidth.</w:t>
      </w:r>
    </w:p>
    <w:tbl>
      <w:tblPr>
        <w:tblStyle w:val="TableGrid"/>
        <w:tblW w:w="0" w:type="auto"/>
        <w:tblLook w:val="04A0" w:firstRow="1" w:lastRow="0" w:firstColumn="1" w:lastColumn="0" w:noHBand="0" w:noVBand="1"/>
      </w:tblPr>
      <w:tblGrid>
        <w:gridCol w:w="4814"/>
        <w:gridCol w:w="4815"/>
      </w:tblGrid>
      <w:tr w:rsidR="0019482F" w14:paraId="637962EE" w14:textId="77777777" w:rsidTr="003E7E6B">
        <w:tc>
          <w:tcPr>
            <w:tcW w:w="4814" w:type="dxa"/>
          </w:tcPr>
          <w:p w14:paraId="2522A318" w14:textId="77777777" w:rsidR="0019482F" w:rsidRDefault="0019482F" w:rsidP="003E7E6B">
            <w:pPr>
              <w:pStyle w:val="BodyText"/>
            </w:pPr>
            <w:r>
              <w:t>A)</w:t>
            </w:r>
          </w:p>
          <w:p w14:paraId="3CD797A7" w14:textId="2946A203" w:rsidR="0019482F" w:rsidRDefault="00F40835" w:rsidP="003E7E6B">
            <w:pPr>
              <w:pStyle w:val="BodyText"/>
              <w:rPr>
                <w:rFonts w:ascii="Times New Roman" w:hAnsi="Times New Roman"/>
              </w:rPr>
            </w:pPr>
            <w:r w:rsidRPr="00EA7B30">
              <w:rPr>
                <w:rFonts w:eastAsia="SimSun"/>
                <w:sz w:val="20"/>
                <w:szCs w:val="20"/>
                <w:lang w:val="en-GB"/>
              </w:rPr>
              <w:object w:dxaOrig="4670" w:dyaOrig="2260" w14:anchorId="4860165C">
                <v:shape id="_x0000_i1027" type="#_x0000_t75" style="width:231.5pt;height:113pt" o:ole="">
                  <v:imagedata r:id="rId16" o:title=""/>
                </v:shape>
                <o:OLEObject Type="Embed" ProgID="PBrush" ShapeID="_x0000_i1027" DrawAspect="Content" ObjectID="_1792584492" r:id="rId17"/>
              </w:object>
            </w:r>
          </w:p>
        </w:tc>
        <w:tc>
          <w:tcPr>
            <w:tcW w:w="4815" w:type="dxa"/>
          </w:tcPr>
          <w:p w14:paraId="35E1A388" w14:textId="77777777" w:rsidR="0019482F" w:rsidRDefault="0019482F" w:rsidP="003E7E6B">
            <w:pPr>
              <w:pStyle w:val="BodyText"/>
            </w:pPr>
            <w:r>
              <w:t>B)</w:t>
            </w:r>
          </w:p>
          <w:p w14:paraId="2C4B6549" w14:textId="016D2385" w:rsidR="0019482F" w:rsidRDefault="00F40835" w:rsidP="003E7E6B">
            <w:pPr>
              <w:pStyle w:val="BodyText"/>
              <w:rPr>
                <w:rFonts w:ascii="Times New Roman" w:hAnsi="Times New Roman"/>
              </w:rPr>
            </w:pPr>
            <w:r w:rsidRPr="00EA7B30">
              <w:rPr>
                <w:rFonts w:eastAsia="SimSun"/>
                <w:sz w:val="20"/>
                <w:szCs w:val="20"/>
                <w:lang w:val="en-GB"/>
              </w:rPr>
              <w:object w:dxaOrig="4670" w:dyaOrig="2260" w14:anchorId="7D0344A3">
                <v:shape id="_x0000_i1028" type="#_x0000_t75" style="width:231.5pt;height:113pt" o:ole="">
                  <v:imagedata r:id="rId18" o:title=""/>
                </v:shape>
                <o:OLEObject Type="Embed" ProgID="PBrush" ShapeID="_x0000_i1028" DrawAspect="Content" ObjectID="_1792584493" r:id="rId19"/>
              </w:object>
            </w:r>
          </w:p>
        </w:tc>
      </w:tr>
    </w:tbl>
    <w:p w14:paraId="168C8DC3" w14:textId="17D9EB70" w:rsidR="00755F66" w:rsidRPr="0019482F" w:rsidRDefault="0019482F" w:rsidP="004F1FCD">
      <w:pPr>
        <w:pStyle w:val="BodyText"/>
        <w:rPr>
          <w:rFonts w:ascii="Times New Roman" w:hAnsi="Times New Roman"/>
          <w:b/>
          <w:bCs/>
        </w:rPr>
      </w:pPr>
      <w:r>
        <w:rPr>
          <w:rFonts w:ascii="Times New Roman" w:hAnsi="Times New Roman"/>
        </w:rPr>
        <w:t xml:space="preserve"> </w:t>
      </w:r>
      <w:r w:rsidRPr="00755F66">
        <w:rPr>
          <w:rFonts w:eastAsia="Yu Mincho"/>
          <w:b/>
          <w:bCs/>
          <w:sz w:val="16"/>
          <w:szCs w:val="16"/>
        </w:rPr>
        <w:t xml:space="preserve">Figure </w:t>
      </w:r>
      <w:r w:rsidR="00435F91">
        <w:rPr>
          <w:rFonts w:eastAsia="Yu Mincho"/>
          <w:b/>
          <w:bCs/>
          <w:sz w:val="16"/>
          <w:szCs w:val="16"/>
        </w:rPr>
        <w:t>3</w:t>
      </w:r>
      <w:r w:rsidRPr="00755F66">
        <w:rPr>
          <w:rFonts w:eastAsia="Yu Mincho"/>
          <w:b/>
          <w:bCs/>
          <w:sz w:val="16"/>
          <w:szCs w:val="16"/>
        </w:rPr>
        <w:t xml:space="preserve">: </w:t>
      </w:r>
      <w:r>
        <w:rPr>
          <w:rFonts w:eastAsia="Yu Mincho"/>
          <w:b/>
          <w:bCs/>
          <w:sz w:val="16"/>
          <w:szCs w:val="16"/>
        </w:rPr>
        <w:t xml:space="preserve">Use cases under the RF framework of a </w:t>
      </w:r>
      <w:r w:rsidR="00F40835">
        <w:rPr>
          <w:rFonts w:eastAsia="Yu Mincho"/>
          <w:b/>
          <w:bCs/>
          <w:sz w:val="16"/>
          <w:szCs w:val="16"/>
        </w:rPr>
        <w:t>5</w:t>
      </w:r>
      <w:r>
        <w:rPr>
          <w:rFonts w:eastAsia="Yu Mincho"/>
          <w:b/>
          <w:bCs/>
          <w:sz w:val="16"/>
          <w:szCs w:val="16"/>
        </w:rPr>
        <w:t xml:space="preserve"> MHz channel bandwidth: A) </w:t>
      </w:r>
      <w:r w:rsidR="00435F91">
        <w:rPr>
          <w:rFonts w:eastAsia="Yu Mincho"/>
          <w:b/>
          <w:bCs/>
          <w:sz w:val="16"/>
          <w:szCs w:val="16"/>
        </w:rPr>
        <w:t>Legacy 5 MHz Channel Bandwidth where</w:t>
      </w:r>
      <w:r w:rsidRPr="00755F66">
        <w:rPr>
          <w:rFonts w:eastAsia="Yu Mincho"/>
          <w:b/>
          <w:bCs/>
          <w:sz w:val="16"/>
          <w:szCs w:val="16"/>
        </w:rPr>
        <w:t xml:space="preserve"> </w:t>
      </w:r>
      <w:r>
        <w:rPr>
          <w:rFonts w:eastAsia="Yu Mincho"/>
          <w:b/>
          <w:bCs/>
          <w:sz w:val="16"/>
          <w:szCs w:val="16"/>
        </w:rPr>
        <w:t xml:space="preserve">Transmission/Reception can span up to the maximum transmission bandwidth (i.e., </w:t>
      </w:r>
      <w:r w:rsidR="00435F91">
        <w:rPr>
          <w:rFonts w:eastAsia="Yu Mincho"/>
          <w:b/>
          <w:bCs/>
          <w:sz w:val="16"/>
          <w:szCs w:val="16"/>
        </w:rPr>
        <w:t>N</w:t>
      </w:r>
      <w:r w:rsidR="00435F91" w:rsidRPr="0019482F">
        <w:rPr>
          <w:rFonts w:eastAsia="Yu Mincho"/>
          <w:b/>
          <w:bCs/>
          <w:sz w:val="16"/>
          <w:szCs w:val="16"/>
          <w:vertAlign w:val="subscript"/>
        </w:rPr>
        <w:t>RB</w:t>
      </w:r>
      <w:r w:rsidR="00435F91">
        <w:rPr>
          <w:rFonts w:eastAsia="Yu Mincho"/>
          <w:b/>
          <w:bCs/>
          <w:sz w:val="16"/>
          <w:szCs w:val="16"/>
        </w:rPr>
        <w:t xml:space="preserve"> = 2</w:t>
      </w:r>
      <w:r>
        <w:rPr>
          <w:rFonts w:eastAsia="Yu Mincho"/>
          <w:b/>
          <w:bCs/>
          <w:sz w:val="16"/>
          <w:szCs w:val="16"/>
        </w:rPr>
        <w:t xml:space="preserve">5 PRBs), and B) For NR band n100 and only for a sync raster frequency at </w:t>
      </w:r>
      <w:r w:rsidR="00435F91" w:rsidRPr="00435F91">
        <w:rPr>
          <w:rFonts w:eastAsia="Yu Mincho"/>
          <w:b/>
          <w:bCs/>
          <w:sz w:val="16"/>
          <w:szCs w:val="16"/>
        </w:rPr>
        <w:t xml:space="preserve">921.45 </w:t>
      </w:r>
      <w:r>
        <w:rPr>
          <w:rFonts w:eastAsia="Yu Mincho"/>
          <w:b/>
          <w:bCs/>
          <w:sz w:val="16"/>
          <w:szCs w:val="16"/>
        </w:rPr>
        <w:t>MHz, Transmission/Reception can span through a proper scheduling up to 2</w:t>
      </w:r>
      <w:r w:rsidR="00435F91">
        <w:rPr>
          <w:rFonts w:eastAsia="Yu Mincho"/>
          <w:b/>
          <w:bCs/>
          <w:sz w:val="16"/>
          <w:szCs w:val="16"/>
        </w:rPr>
        <w:t>0</w:t>
      </w:r>
      <w:r>
        <w:rPr>
          <w:rFonts w:eastAsia="Yu Mincho"/>
          <w:b/>
          <w:bCs/>
          <w:sz w:val="16"/>
          <w:szCs w:val="16"/>
        </w:rPr>
        <w:t>-PRBs within maximum transmission bandwidth</w:t>
      </w:r>
      <w:r w:rsidR="00435F91">
        <w:rPr>
          <w:rFonts w:eastAsia="Yu Mincho"/>
          <w:b/>
          <w:bCs/>
          <w:sz w:val="16"/>
          <w:szCs w:val="16"/>
        </w:rPr>
        <w:t xml:space="preserve"> (i.e., N</w:t>
      </w:r>
      <w:r w:rsidR="00435F91" w:rsidRPr="0019482F">
        <w:rPr>
          <w:rFonts w:eastAsia="Yu Mincho"/>
          <w:b/>
          <w:bCs/>
          <w:sz w:val="16"/>
          <w:szCs w:val="16"/>
          <w:vertAlign w:val="subscript"/>
        </w:rPr>
        <w:t>RB</w:t>
      </w:r>
      <w:r w:rsidR="00435F91">
        <w:rPr>
          <w:rFonts w:eastAsia="Yu Mincho"/>
          <w:b/>
          <w:bCs/>
          <w:sz w:val="16"/>
          <w:szCs w:val="16"/>
        </w:rPr>
        <w:t xml:space="preserve"> = 25 PRBs)</w:t>
      </w:r>
      <w:r>
        <w:rPr>
          <w:rFonts w:eastAsia="Yu Mincho"/>
          <w:b/>
          <w:bCs/>
          <w:sz w:val="16"/>
          <w:szCs w:val="16"/>
        </w:rPr>
        <w:t>.</w:t>
      </w:r>
    </w:p>
    <w:p w14:paraId="2DB9E008" w14:textId="0697AA1D" w:rsidR="00435F91" w:rsidRDefault="00435F91" w:rsidP="00435F91">
      <w:pPr>
        <w:pStyle w:val="BodyText"/>
        <w:rPr>
          <w:rFonts w:ascii="Times New Roman" w:hAnsi="Times New Roman"/>
        </w:rPr>
      </w:pPr>
      <w:r>
        <w:rPr>
          <w:rFonts w:ascii="Times New Roman" w:hAnsi="Times New Roman"/>
        </w:rPr>
        <w:t>From</w:t>
      </w:r>
      <w:r w:rsidRPr="00435F91">
        <w:rPr>
          <w:rFonts w:ascii="Times New Roman" w:hAnsi="Times New Roman"/>
        </w:rPr>
        <w:t xml:space="preserve"> </w:t>
      </w:r>
      <w:r>
        <w:rPr>
          <w:rFonts w:ascii="Times New Roman" w:hAnsi="Times New Roman"/>
        </w:rPr>
        <w:t xml:space="preserve">Figure 3, we can see that </w:t>
      </w:r>
      <w:r w:rsidRPr="007F05AB">
        <w:rPr>
          <w:rFonts w:ascii="Times New Roman" w:hAnsi="Times New Roman"/>
          <w:b/>
          <w:bCs/>
        </w:rPr>
        <w:t>N</w:t>
      </w:r>
      <w:r w:rsidRPr="007F05AB">
        <w:rPr>
          <w:rFonts w:ascii="Times New Roman" w:hAnsi="Times New Roman"/>
          <w:b/>
          <w:bCs/>
          <w:vertAlign w:val="subscript"/>
        </w:rPr>
        <w:t>RB</w:t>
      </w:r>
      <w:r>
        <w:rPr>
          <w:rFonts w:ascii="Times New Roman" w:hAnsi="Times New Roman"/>
        </w:rPr>
        <w:t xml:space="preserve"> is equal to </w:t>
      </w:r>
      <w:r w:rsidR="009E4206">
        <w:rPr>
          <w:rFonts w:ascii="Times New Roman" w:hAnsi="Times New Roman"/>
        </w:rPr>
        <w:t xml:space="preserve">25 </w:t>
      </w:r>
      <w:r>
        <w:rPr>
          <w:rFonts w:ascii="Times New Roman" w:hAnsi="Times New Roman"/>
        </w:rPr>
        <w:t xml:space="preserve">PRBs for both </w:t>
      </w:r>
      <w:proofErr w:type="gramStart"/>
      <w:r>
        <w:rPr>
          <w:rFonts w:ascii="Times New Roman" w:hAnsi="Times New Roman"/>
        </w:rPr>
        <w:t>transmission/reception</w:t>
      </w:r>
      <w:proofErr w:type="gramEnd"/>
      <w:r>
        <w:rPr>
          <w:rFonts w:ascii="Times New Roman" w:hAnsi="Times New Roman"/>
        </w:rPr>
        <w:t xml:space="preserve"> spanning up to 25 PRBs and for transmission/reception confined (via scheduling) up to 20 PRBs</w:t>
      </w:r>
      <w:r w:rsidR="00745A27">
        <w:rPr>
          <w:rFonts w:ascii="Times New Roman" w:hAnsi="Times New Roman"/>
        </w:rPr>
        <w:t xml:space="preserve">. </w:t>
      </w:r>
      <w:r>
        <w:rPr>
          <w:rFonts w:ascii="Times New Roman" w:hAnsi="Times New Roman"/>
        </w:rPr>
        <w:t xml:space="preserve">Please note that in Table 5.3.2-1 of TS 38.101-1, </w:t>
      </w:r>
      <w:r w:rsidRPr="007F05AB">
        <w:rPr>
          <w:rFonts w:ascii="Times New Roman" w:hAnsi="Times New Roman"/>
          <w:b/>
          <w:bCs/>
        </w:rPr>
        <w:t>N</w:t>
      </w:r>
      <w:r w:rsidRPr="007F05AB">
        <w:rPr>
          <w:rFonts w:ascii="Times New Roman" w:hAnsi="Times New Roman"/>
          <w:b/>
          <w:bCs/>
          <w:vertAlign w:val="subscript"/>
        </w:rPr>
        <w:t>RB</w:t>
      </w:r>
      <w:r>
        <w:rPr>
          <w:rFonts w:ascii="Times New Roman" w:hAnsi="Times New Roman"/>
        </w:rPr>
        <w:t xml:space="preserve"> = 25 is the only available value for a 5 MHz channel bandwidth using 15 kHz SCS.</w:t>
      </w:r>
    </w:p>
    <w:p w14:paraId="4DF5ABB9" w14:textId="77777777" w:rsidR="00E63030" w:rsidRDefault="00E63030" w:rsidP="00E63030">
      <w:pPr>
        <w:pStyle w:val="BodyText"/>
        <w:rPr>
          <w:rFonts w:ascii="Times New Roman" w:hAnsi="Times New Roman"/>
        </w:rPr>
      </w:pPr>
    </w:p>
    <w:p w14:paraId="64C9C347" w14:textId="7D930174" w:rsidR="00E63030" w:rsidRDefault="00E63030" w:rsidP="00E63030">
      <w:pPr>
        <w:pStyle w:val="Observation"/>
      </w:pPr>
      <w:bookmarkStart w:id="27" w:name="_Toc181352655"/>
      <w:bookmarkStart w:id="28" w:name="_Toc181971087"/>
      <w:r>
        <w:t>U</w:t>
      </w:r>
      <w:r w:rsidRPr="002067E8">
        <w:t xml:space="preserve">nder the RF framework of a </w:t>
      </w:r>
      <w:r w:rsidR="004E2AA0">
        <w:t>5</w:t>
      </w:r>
      <w:r w:rsidRPr="002067E8">
        <w:t xml:space="preserve"> MHz channel bandwidth</w:t>
      </w:r>
      <w:r>
        <w:t xml:space="preserve"> there are two use cases</w:t>
      </w:r>
      <w:r w:rsidRPr="002067E8">
        <w:t>:</w:t>
      </w:r>
      <w:bookmarkEnd w:id="27"/>
      <w:bookmarkEnd w:id="28"/>
    </w:p>
    <w:p w14:paraId="2B556A4A" w14:textId="418E7A5D" w:rsidR="00E63030" w:rsidRDefault="004E2AA0" w:rsidP="008B7EFE">
      <w:pPr>
        <w:pStyle w:val="Observation"/>
        <w:numPr>
          <w:ilvl w:val="0"/>
          <w:numId w:val="47"/>
        </w:numPr>
      </w:pPr>
      <w:bookmarkStart w:id="29" w:name="_Toc181352656"/>
      <w:bookmarkStart w:id="30" w:name="_Toc181971088"/>
      <w:r>
        <w:t>Legacy 5 MHz CBW as prior to Rel-18.</w:t>
      </w:r>
      <w:bookmarkEnd w:id="29"/>
      <w:bookmarkEnd w:id="30"/>
    </w:p>
    <w:p w14:paraId="06DB5727" w14:textId="75E0CC1E" w:rsidR="00E63030" w:rsidRDefault="00E63030" w:rsidP="008B7EFE">
      <w:pPr>
        <w:pStyle w:val="Observation"/>
        <w:numPr>
          <w:ilvl w:val="0"/>
          <w:numId w:val="47"/>
        </w:numPr>
      </w:pPr>
      <w:bookmarkStart w:id="31" w:name="_Toc181352657"/>
      <w:bookmarkStart w:id="32" w:name="_Toc181971089"/>
      <w:r w:rsidRPr="002067E8">
        <w:t>For NR band n100 and only for a sync raster frequency at 92</w:t>
      </w:r>
      <w:r w:rsidR="004E2AA0">
        <w:t>1</w:t>
      </w:r>
      <w:r w:rsidRPr="002067E8">
        <w:t>.</w:t>
      </w:r>
      <w:r w:rsidR="004E2AA0">
        <w:t>45</w:t>
      </w:r>
      <w:r w:rsidRPr="002067E8">
        <w:t xml:space="preserve"> MHz, </w:t>
      </w:r>
      <w:r>
        <w:t>the t</w:t>
      </w:r>
      <w:r w:rsidRPr="002067E8">
        <w:t>ransmission/</w:t>
      </w:r>
      <w:r>
        <w:t>r</w:t>
      </w:r>
      <w:r w:rsidRPr="002067E8">
        <w:t xml:space="preserve">eception can span </w:t>
      </w:r>
      <w:r>
        <w:t>(</w:t>
      </w:r>
      <w:r w:rsidRPr="002067E8">
        <w:t>through a proper scheduling</w:t>
      </w:r>
      <w:r>
        <w:t>)</w:t>
      </w:r>
      <w:r w:rsidRPr="002067E8">
        <w:t xml:space="preserve"> up to 2</w:t>
      </w:r>
      <w:r w:rsidR="004E2AA0">
        <w:t>0</w:t>
      </w:r>
      <w:r w:rsidRPr="002067E8">
        <w:t xml:space="preserve">-PRBs within </w:t>
      </w:r>
      <w:r w:rsidR="00480223">
        <w:t xml:space="preserve">the </w:t>
      </w:r>
      <w:r w:rsidRPr="002067E8">
        <w:t>maximum transmission bandwidth (i.e., N</w:t>
      </w:r>
      <w:r w:rsidRPr="00646E7B">
        <w:rPr>
          <w:vertAlign w:val="subscript"/>
        </w:rPr>
        <w:t>RB</w:t>
      </w:r>
      <w:r w:rsidRPr="002067E8">
        <w:t xml:space="preserve"> = </w:t>
      </w:r>
      <w:r w:rsidR="00480223">
        <w:t>2</w:t>
      </w:r>
      <w:r w:rsidRPr="002067E8">
        <w:t>5 PRBs).</w:t>
      </w:r>
      <w:bookmarkEnd w:id="31"/>
      <w:bookmarkEnd w:id="32"/>
    </w:p>
    <w:p w14:paraId="27AB2479" w14:textId="6DCC0C41" w:rsidR="00E63030" w:rsidRDefault="4FC3701A" w:rsidP="00E63030">
      <w:pPr>
        <w:pStyle w:val="Observation"/>
        <w:ind w:left="1701" w:hanging="1701"/>
      </w:pPr>
      <w:bookmarkStart w:id="33" w:name="_Toc181352658"/>
      <w:bookmarkStart w:id="34" w:name="_Toc181971090"/>
      <w:r>
        <w:t>The RAN2 LS states “</w:t>
      </w:r>
      <w:r w:rsidRPr="6F255528">
        <w:rPr>
          <w:i/>
          <w:iCs/>
          <w:color w:val="7F7F7F" w:themeColor="text1" w:themeTint="80"/>
        </w:rPr>
        <w:t xml:space="preserve">to avoid unnecessary cell barring, from RAN2 perspective, the network needs to set carrierBandwidth to a value equal or larger than </w:t>
      </w:r>
      <w:r w:rsidR="229ABB1F" w:rsidRPr="6F255528">
        <w:rPr>
          <w:i/>
          <w:iCs/>
          <w:color w:val="7F7F7F" w:themeColor="text1" w:themeTint="80"/>
        </w:rPr>
        <w:t>2</w:t>
      </w:r>
      <w:r w:rsidRPr="6F255528">
        <w:rPr>
          <w:i/>
          <w:iCs/>
          <w:color w:val="7F7F7F" w:themeColor="text1" w:themeTint="80"/>
        </w:rPr>
        <w:t>5 PRB for the 2</w:t>
      </w:r>
      <w:r w:rsidR="229ABB1F" w:rsidRPr="6F255528">
        <w:rPr>
          <w:i/>
          <w:iCs/>
          <w:color w:val="7F7F7F" w:themeColor="text1" w:themeTint="80"/>
        </w:rPr>
        <w:t>0</w:t>
      </w:r>
      <w:r w:rsidRPr="6F255528">
        <w:rPr>
          <w:i/>
          <w:iCs/>
          <w:color w:val="7F7F7F" w:themeColor="text1" w:themeTint="80"/>
        </w:rPr>
        <w:t xml:space="preserve"> PRB case</w:t>
      </w:r>
      <w:r>
        <w:t>”</w:t>
      </w:r>
      <w:r w:rsidR="009B6FD4">
        <w:t>.</w:t>
      </w:r>
      <w:r>
        <w:t xml:space="preserve"> </w:t>
      </w:r>
      <w:r w:rsidR="009B6FD4">
        <w:t xml:space="preserve">In relation with it, in this case the “carrierBandwidth” refers to the maximum transmission bandwidth, and on that matter </w:t>
      </w:r>
      <w:r w:rsidR="009B6FD4" w:rsidRPr="0022232E">
        <w:t>N</w:t>
      </w:r>
      <w:r w:rsidR="009B6FD4" w:rsidRPr="0022232E">
        <w:rPr>
          <w:vertAlign w:val="subscript"/>
        </w:rPr>
        <w:t>RB</w:t>
      </w:r>
      <w:r w:rsidR="009B6FD4" w:rsidRPr="0022232E">
        <w:t xml:space="preserve"> </w:t>
      </w:r>
      <w:r w:rsidR="009B6FD4">
        <w:t>=</w:t>
      </w:r>
      <w:r w:rsidR="009B6FD4" w:rsidRPr="0022232E">
        <w:t xml:space="preserve"> </w:t>
      </w:r>
      <w:r w:rsidR="009B6FD4">
        <w:t>2</w:t>
      </w:r>
      <w:r w:rsidR="009B6FD4" w:rsidRPr="0022232E">
        <w:t xml:space="preserve">5 PRBs for both </w:t>
      </w:r>
      <w:proofErr w:type="gramStart"/>
      <w:r w:rsidR="009B6FD4" w:rsidRPr="0022232E">
        <w:t>transmission/reception</w:t>
      </w:r>
      <w:proofErr w:type="gramEnd"/>
      <w:r w:rsidR="009B6FD4" w:rsidRPr="0022232E">
        <w:t xml:space="preserve"> spanning up to </w:t>
      </w:r>
      <w:r w:rsidR="009B6FD4">
        <w:t>2</w:t>
      </w:r>
      <w:r w:rsidR="009B6FD4" w:rsidRPr="0022232E">
        <w:t>5 PRBs and for transmission/reception confined (via scheduling) up to 2</w:t>
      </w:r>
      <w:r w:rsidR="009B6FD4">
        <w:t>0</w:t>
      </w:r>
      <w:r w:rsidR="009B6FD4" w:rsidRPr="0022232E">
        <w:t xml:space="preserve"> PRBs.</w:t>
      </w:r>
      <w:bookmarkEnd w:id="33"/>
      <w:bookmarkEnd w:id="34"/>
    </w:p>
    <w:p w14:paraId="6BA2FD5D" w14:textId="17FE407B" w:rsidR="00E63030" w:rsidRDefault="00E63030" w:rsidP="00E63030">
      <w:pPr>
        <w:pStyle w:val="Observation"/>
        <w:numPr>
          <w:ilvl w:val="0"/>
          <w:numId w:val="46"/>
        </w:numPr>
      </w:pPr>
      <w:bookmarkStart w:id="35" w:name="_Toc181352659"/>
      <w:bookmarkStart w:id="36" w:name="_Toc181971091"/>
      <w:r>
        <w:t xml:space="preserve">For </w:t>
      </w:r>
      <w:r w:rsidR="00DD3B9B">
        <w:t>5</w:t>
      </w:r>
      <w:r>
        <w:t xml:space="preserve"> MHz CBW with 15 kHz SCS, N</w:t>
      </w:r>
      <w:r w:rsidRPr="00646E7B">
        <w:rPr>
          <w:vertAlign w:val="subscript"/>
        </w:rPr>
        <w:t>RB</w:t>
      </w:r>
      <w:r>
        <w:t xml:space="preserve"> = </w:t>
      </w:r>
      <w:r w:rsidR="00DD3B9B">
        <w:t>2</w:t>
      </w:r>
      <w:r>
        <w:t xml:space="preserve">5 is the only value in </w:t>
      </w:r>
      <w:r w:rsidRPr="00646E7B">
        <w:t>Table 5.3.2-1 of TS 38.101-1</w:t>
      </w:r>
      <w:r>
        <w:t>.</w:t>
      </w:r>
      <w:bookmarkEnd w:id="35"/>
      <w:bookmarkEnd w:id="36"/>
    </w:p>
    <w:p w14:paraId="247FC6AF" w14:textId="77777777" w:rsidR="001E0017" w:rsidRDefault="00DD3B9B" w:rsidP="004F1FCD">
      <w:pPr>
        <w:pStyle w:val="BodyText"/>
        <w:rPr>
          <w:rFonts w:ascii="Times New Roman" w:hAnsi="Times New Roman"/>
        </w:rPr>
      </w:pPr>
      <w:r>
        <w:rPr>
          <w:rFonts w:ascii="Times New Roman" w:hAnsi="Times New Roman"/>
        </w:rPr>
        <w:lastRenderedPageBreak/>
        <w:t>Moreover</w:t>
      </w:r>
      <w:r w:rsidR="00152D56">
        <w:rPr>
          <w:rFonts w:ascii="Times New Roman" w:hAnsi="Times New Roman"/>
        </w:rPr>
        <w:t>, the RAN2 LS mentions whether “</w:t>
      </w:r>
      <w:r w:rsidR="00152D56" w:rsidRPr="005131A0">
        <w:rPr>
          <w:rFonts w:ascii="Times New Roman" w:hAnsi="Times New Roman"/>
          <w:i/>
          <w:iCs/>
        </w:rPr>
        <w:t>it is feasible to configure carrierBandwidth to 15 PRB (for the 12 PRB case) and 25 PRB (for the 20 PRB</w:t>
      </w:r>
      <w:r w:rsidR="00152D56" w:rsidRPr="005131A0">
        <w:rPr>
          <w:rFonts w:ascii="Times New Roman" w:hAnsi="Times New Roman" w:hint="eastAsia"/>
          <w:i/>
          <w:iCs/>
        </w:rPr>
        <w:t>) case</w:t>
      </w:r>
      <w:r w:rsidR="00152D56" w:rsidRPr="005131A0">
        <w:rPr>
          <w:rFonts w:ascii="Times New Roman" w:hAnsi="Times New Roman"/>
          <w:i/>
          <w:iCs/>
        </w:rPr>
        <w:t xml:space="preserve"> respectively in SIB1 and in RRC dedicated signaling, and if </w:t>
      </w:r>
      <w:proofErr w:type="gramStart"/>
      <w:r w:rsidR="00152D56" w:rsidRPr="005131A0">
        <w:rPr>
          <w:rFonts w:ascii="Times New Roman" w:hAnsi="Times New Roman"/>
          <w:i/>
          <w:iCs/>
        </w:rPr>
        <w:t>not</w:t>
      </w:r>
      <w:proofErr w:type="gramEnd"/>
      <w:r w:rsidR="00152D56" w:rsidRPr="005131A0">
        <w:rPr>
          <w:rFonts w:ascii="Times New Roman" w:hAnsi="Times New Roman"/>
          <w:i/>
          <w:iCs/>
        </w:rPr>
        <w:t xml:space="preserve"> what values should be configured</w:t>
      </w:r>
      <w:r w:rsidR="00152D56" w:rsidRPr="00152D56">
        <w:rPr>
          <w:rFonts w:ascii="Times New Roman" w:hAnsi="Times New Roman"/>
        </w:rPr>
        <w:t>.</w:t>
      </w:r>
      <w:r w:rsidR="00152D56">
        <w:rPr>
          <w:rFonts w:ascii="Times New Roman" w:hAnsi="Times New Roman"/>
        </w:rPr>
        <w:t xml:space="preserve">” </w:t>
      </w:r>
      <w:r w:rsidR="001E0017">
        <w:rPr>
          <w:rFonts w:ascii="Times New Roman" w:hAnsi="Times New Roman"/>
        </w:rPr>
        <w:t xml:space="preserve">In relation with it, it is important to highlight that from a RAN1 perspective </w:t>
      </w:r>
      <w:r w:rsidR="00447085" w:rsidRPr="00DD3B9B">
        <w:rPr>
          <w:rFonts w:ascii="Times New Roman" w:hAnsi="Times New Roman"/>
        </w:rPr>
        <w:t xml:space="preserve">the information carried on SIB1 </w:t>
      </w:r>
      <w:r w:rsidR="00382BAF" w:rsidRPr="00DD3B9B">
        <w:rPr>
          <w:rFonts w:ascii="Times New Roman" w:hAnsi="Times New Roman"/>
        </w:rPr>
        <w:t>will</w:t>
      </w:r>
      <w:r w:rsidR="00447085" w:rsidRPr="00DD3B9B">
        <w:rPr>
          <w:rFonts w:ascii="Times New Roman" w:hAnsi="Times New Roman"/>
        </w:rPr>
        <w:t xml:space="preserve"> end up being a reconfirmation rather than an indication, </w:t>
      </w:r>
      <w:bookmarkStart w:id="37" w:name="_Hlk181130590"/>
      <w:r w:rsidR="00447085" w:rsidRPr="00DD3B9B">
        <w:rPr>
          <w:rFonts w:ascii="Times New Roman" w:hAnsi="Times New Roman"/>
        </w:rPr>
        <w:t xml:space="preserve">this because from an earlier stage of initial cell selection </w:t>
      </w:r>
      <w:r w:rsidR="00382BAF" w:rsidRPr="00DD3B9B">
        <w:rPr>
          <w:rFonts w:ascii="Times New Roman" w:hAnsi="Times New Roman"/>
        </w:rPr>
        <w:t xml:space="preserve">(i.e., from </w:t>
      </w:r>
      <w:r w:rsidR="00447085" w:rsidRPr="00DD3B9B">
        <w:rPr>
          <w:rFonts w:ascii="Times New Roman" w:hAnsi="Times New Roman"/>
        </w:rPr>
        <w:t>the sync raster frequency and the detection of SSB</w:t>
      </w:r>
      <w:r w:rsidR="00382BAF" w:rsidRPr="00DD3B9B">
        <w:rPr>
          <w:rFonts w:ascii="Times New Roman" w:hAnsi="Times New Roman"/>
        </w:rPr>
        <w:t>)</w:t>
      </w:r>
      <w:r w:rsidR="00447085" w:rsidRPr="00DD3B9B">
        <w:rPr>
          <w:rFonts w:ascii="Times New Roman" w:hAnsi="Times New Roman"/>
        </w:rPr>
        <w:t>, the UE w</w:t>
      </w:r>
      <w:r w:rsidR="0019482F" w:rsidRPr="00DD3B9B">
        <w:rPr>
          <w:rFonts w:ascii="Times New Roman" w:hAnsi="Times New Roman"/>
        </w:rPr>
        <w:t>ill</w:t>
      </w:r>
      <w:r w:rsidR="00447085" w:rsidRPr="00DD3B9B">
        <w:rPr>
          <w:rFonts w:ascii="Times New Roman" w:hAnsi="Times New Roman"/>
        </w:rPr>
        <w:t xml:space="preserve"> know whether</w:t>
      </w:r>
      <w:r w:rsidR="0019482F" w:rsidRPr="00DD3B9B">
        <w:rPr>
          <w:rFonts w:ascii="Times New Roman" w:hAnsi="Times New Roman"/>
        </w:rPr>
        <w:t xml:space="preserve"> or not</w:t>
      </w:r>
      <w:r w:rsidR="00447085" w:rsidRPr="00DD3B9B">
        <w:rPr>
          <w:rFonts w:ascii="Times New Roman" w:hAnsi="Times New Roman"/>
        </w:rPr>
        <w:t xml:space="preserve"> it is dealing with a “12 PRB case”</w:t>
      </w:r>
      <w:r w:rsidR="00382BAF" w:rsidRPr="00DD3B9B">
        <w:rPr>
          <w:rFonts w:ascii="Times New Roman" w:hAnsi="Times New Roman"/>
        </w:rPr>
        <w:t xml:space="preserve"> for 3 MHz CBW/“20 PRB case” for 5 MHz CBW</w:t>
      </w:r>
      <w:bookmarkEnd w:id="37"/>
      <w:r w:rsidR="00382BAF" w:rsidRPr="00DD3B9B">
        <w:rPr>
          <w:rFonts w:ascii="Times New Roman" w:hAnsi="Times New Roman"/>
        </w:rPr>
        <w:t>.</w:t>
      </w:r>
      <w:r w:rsidR="000455E5">
        <w:rPr>
          <w:rFonts w:ascii="Times New Roman" w:hAnsi="Times New Roman"/>
        </w:rPr>
        <w:t xml:space="preserve"> In other words, SIB1 </w:t>
      </w:r>
      <w:r w:rsidR="000455E5" w:rsidRPr="000455E5">
        <w:rPr>
          <w:rFonts w:ascii="Times New Roman" w:hAnsi="Times New Roman"/>
          <w:i/>
          <w:iCs/>
        </w:rPr>
        <w:t>per</w:t>
      </w:r>
      <w:r w:rsidR="000455E5">
        <w:rPr>
          <w:rFonts w:ascii="Times New Roman" w:hAnsi="Times New Roman"/>
          <w:i/>
          <w:iCs/>
        </w:rPr>
        <w:t>-</w:t>
      </w:r>
      <w:r w:rsidR="000455E5" w:rsidRPr="000455E5">
        <w:rPr>
          <w:rFonts w:ascii="Times New Roman" w:hAnsi="Times New Roman"/>
          <w:i/>
          <w:iCs/>
        </w:rPr>
        <w:t>se</w:t>
      </w:r>
      <w:r w:rsidR="000455E5">
        <w:rPr>
          <w:rFonts w:ascii="Times New Roman" w:hAnsi="Times New Roman"/>
        </w:rPr>
        <w:t xml:space="preserve"> is already subject to a confined transmission/reception if any, thus the information intended to be provided is not timely and indeed already applied by the UE to receive PDCCH and PDSCH carrying SIB1.</w:t>
      </w:r>
      <w:r w:rsidR="001E0017">
        <w:rPr>
          <w:rFonts w:ascii="Times New Roman" w:hAnsi="Times New Roman"/>
        </w:rPr>
        <w:t xml:space="preserve"> </w:t>
      </w:r>
    </w:p>
    <w:p w14:paraId="171B8638" w14:textId="39F8EC7F" w:rsidR="00152D56" w:rsidRPr="001E0017" w:rsidRDefault="001E0017" w:rsidP="004F1FCD">
      <w:pPr>
        <w:pStyle w:val="BodyText"/>
        <w:rPr>
          <w:rFonts w:ascii="Times New Roman" w:hAnsi="Times New Roman"/>
        </w:rPr>
      </w:pPr>
      <w:r>
        <w:rPr>
          <w:rFonts w:ascii="Times New Roman" w:hAnsi="Times New Roman"/>
        </w:rPr>
        <w:t>Moreover, as mentioned earlier for a 3 MHz CBW N</w:t>
      </w:r>
      <w:r w:rsidRPr="001E0017">
        <w:rPr>
          <w:rFonts w:ascii="Times New Roman" w:hAnsi="Times New Roman"/>
          <w:vertAlign w:val="subscript"/>
        </w:rPr>
        <w:t>RB</w:t>
      </w:r>
      <w:r>
        <w:rPr>
          <w:rFonts w:ascii="Times New Roman" w:hAnsi="Times New Roman"/>
        </w:rPr>
        <w:t xml:space="preserve"> = 15 PRBs regardless of whether all PRBs are utilizable or not since the cases under its scope are built under the same RF framework, and similarly</w:t>
      </w:r>
      <w:r w:rsidRPr="001E0017">
        <w:rPr>
          <w:rFonts w:ascii="Times New Roman" w:hAnsi="Times New Roman"/>
        </w:rPr>
        <w:t xml:space="preserve"> </w:t>
      </w:r>
      <w:r>
        <w:rPr>
          <w:rFonts w:ascii="Times New Roman" w:hAnsi="Times New Roman"/>
        </w:rPr>
        <w:t>for a 5 MHz CBW N</w:t>
      </w:r>
      <w:r w:rsidRPr="001E0017">
        <w:rPr>
          <w:rFonts w:ascii="Times New Roman" w:hAnsi="Times New Roman"/>
          <w:vertAlign w:val="subscript"/>
        </w:rPr>
        <w:t>RB</w:t>
      </w:r>
      <w:r>
        <w:rPr>
          <w:rFonts w:ascii="Times New Roman" w:hAnsi="Times New Roman"/>
        </w:rPr>
        <w:t xml:space="preserve"> = 25 PRBs regardless of whether all PRBs are utilizable or not. Having said that, indicating in SIB1</w:t>
      </w:r>
      <w:r w:rsidR="003F05DB">
        <w:rPr>
          <w:rFonts w:ascii="Times New Roman" w:hAnsi="Times New Roman"/>
        </w:rPr>
        <w:t xml:space="preserve"> the</w:t>
      </w:r>
      <w:r>
        <w:rPr>
          <w:rFonts w:ascii="Times New Roman" w:hAnsi="Times New Roman"/>
        </w:rPr>
        <w:t xml:space="preserve"> </w:t>
      </w:r>
      <w:r w:rsidRPr="001E0017">
        <w:rPr>
          <w:rFonts w:ascii="Times New Roman" w:hAnsi="Times New Roman"/>
          <w:i/>
          <w:iCs/>
        </w:rPr>
        <w:t>carrierBandwidth</w:t>
      </w:r>
      <w:r>
        <w:rPr>
          <w:rFonts w:ascii="Times New Roman" w:hAnsi="Times New Roman"/>
        </w:rPr>
        <w:t xml:space="preserve"> equal to 15 PRBs for 3 MHz CBW and 25 PRBs for 5 MHz CBW will mainly serve the purposes </w:t>
      </w:r>
      <w:r w:rsidR="00E32CEF">
        <w:rPr>
          <w:rFonts w:ascii="Times New Roman" w:hAnsi="Times New Roman"/>
        </w:rPr>
        <w:t>of keeping the specification consistent for legacy procedures with respect to previous releases while minimizes the specification impact.</w:t>
      </w:r>
    </w:p>
    <w:p w14:paraId="0A115103" w14:textId="0CF51ABF" w:rsidR="00CA3DCE" w:rsidRDefault="00DD3B9B" w:rsidP="00DD3B9B">
      <w:pPr>
        <w:pStyle w:val="Observation"/>
        <w:ind w:left="1701" w:hanging="1701"/>
      </w:pPr>
      <w:bookmarkStart w:id="38" w:name="_Toc181352660"/>
      <w:bookmarkStart w:id="39" w:name="_Toc181971092"/>
      <w:r>
        <w:t>The RAN2 LS mentions whether “</w:t>
      </w:r>
      <w:r w:rsidRPr="00DD3B9B">
        <w:rPr>
          <w:i/>
          <w:iCs/>
          <w:color w:val="7F7F7F" w:themeColor="text1" w:themeTint="80"/>
        </w:rPr>
        <w:t>it is feasible to configure carrierBandwidth to 15 PRB (for the 12 PRB case) and 25 PRB (for the 20 PRB</w:t>
      </w:r>
      <w:r w:rsidRPr="00DD3B9B">
        <w:rPr>
          <w:rFonts w:hint="eastAsia"/>
          <w:i/>
          <w:iCs/>
          <w:color w:val="7F7F7F" w:themeColor="text1" w:themeTint="80"/>
        </w:rPr>
        <w:t>) case</w:t>
      </w:r>
      <w:r w:rsidRPr="00DD3B9B">
        <w:rPr>
          <w:i/>
          <w:iCs/>
          <w:color w:val="7F7F7F" w:themeColor="text1" w:themeTint="80"/>
        </w:rPr>
        <w:t xml:space="preserve"> respectively in SIB1 and in RRC dedicated signaling, and if </w:t>
      </w:r>
      <w:proofErr w:type="gramStart"/>
      <w:r w:rsidRPr="00DD3B9B">
        <w:rPr>
          <w:i/>
          <w:iCs/>
          <w:color w:val="7F7F7F" w:themeColor="text1" w:themeTint="80"/>
        </w:rPr>
        <w:t>not</w:t>
      </w:r>
      <w:proofErr w:type="gramEnd"/>
      <w:r w:rsidRPr="00DD3B9B">
        <w:rPr>
          <w:i/>
          <w:iCs/>
          <w:color w:val="7F7F7F" w:themeColor="text1" w:themeTint="80"/>
        </w:rPr>
        <w:t xml:space="preserve"> what values should be configured</w:t>
      </w:r>
      <w:r>
        <w:t>”.</w:t>
      </w:r>
      <w:bookmarkEnd w:id="38"/>
      <w:bookmarkEnd w:id="39"/>
    </w:p>
    <w:p w14:paraId="108897BD" w14:textId="2192333F" w:rsidR="000C4D68" w:rsidRDefault="000C4D68" w:rsidP="00DD3B9B">
      <w:pPr>
        <w:pStyle w:val="Observation"/>
        <w:ind w:left="1701" w:hanging="1701"/>
      </w:pPr>
      <w:bookmarkStart w:id="40" w:name="_Toc181352661"/>
      <w:bookmarkStart w:id="41" w:name="_Toc181971093"/>
      <w:r>
        <w:t>A</w:t>
      </w:r>
      <w:r w:rsidRPr="000C4D68">
        <w:t>s mentioned earlier</w:t>
      </w:r>
      <w:r>
        <w:t>,</w:t>
      </w:r>
      <w:r w:rsidRPr="000C4D68">
        <w:t xml:space="preserve"> for a 3 MHz CBW N</w:t>
      </w:r>
      <w:r w:rsidRPr="000C4D68">
        <w:rPr>
          <w:vertAlign w:val="subscript"/>
        </w:rPr>
        <w:t>RB</w:t>
      </w:r>
      <w:r w:rsidRPr="000C4D68">
        <w:t xml:space="preserve"> = 15 PRBs regardless of whether all PRBs are utilizable or not since the cases under its scope are built under the same RF framework, and similarly for a 5 MHz CBW N</w:t>
      </w:r>
      <w:r w:rsidRPr="000C4D68">
        <w:rPr>
          <w:vertAlign w:val="subscript"/>
        </w:rPr>
        <w:t>RB</w:t>
      </w:r>
      <w:r w:rsidRPr="000C4D68">
        <w:t xml:space="preserve"> = 25 PRBs regardless of whether all PRBs are utilizable or not.</w:t>
      </w:r>
      <w:bookmarkEnd w:id="40"/>
      <w:bookmarkEnd w:id="41"/>
    </w:p>
    <w:p w14:paraId="44CFA0B0" w14:textId="43DBA466" w:rsidR="003D3A0E" w:rsidRDefault="229ABB1F" w:rsidP="003D3A0E">
      <w:pPr>
        <w:pStyle w:val="Observation"/>
        <w:ind w:left="1701" w:hanging="1701"/>
      </w:pPr>
      <w:bookmarkStart w:id="42" w:name="_Toc181352662"/>
      <w:bookmarkStart w:id="43" w:name="_Toc181971094"/>
      <w:r>
        <w:t>In relation</w:t>
      </w:r>
      <w:r w:rsidR="00023C1B">
        <w:t xml:space="preserve"> with</w:t>
      </w:r>
      <w:r>
        <w:t xml:space="preserve"> </w:t>
      </w:r>
      <w:r w:rsidR="00023C1B" w:rsidRPr="00023C1B">
        <w:rPr>
          <w:i/>
          <w:iCs/>
        </w:rPr>
        <w:t>carrierBandwidth</w:t>
      </w:r>
      <w:r w:rsidR="003268FC">
        <w:t xml:space="preserve"> </w:t>
      </w:r>
      <w:r w:rsidR="00023C1B">
        <w:t xml:space="preserve">in </w:t>
      </w:r>
      <w:r w:rsidR="003268FC">
        <w:t>SIB1</w:t>
      </w:r>
      <w:r>
        <w:t xml:space="preserve">, </w:t>
      </w:r>
      <w:r w:rsidR="003D3A0E">
        <w:t>from a RAN1 perspective the following technical aspect can be highlighted:</w:t>
      </w:r>
      <w:bookmarkEnd w:id="42"/>
      <w:bookmarkEnd w:id="43"/>
    </w:p>
    <w:p w14:paraId="19E116E5" w14:textId="77777777" w:rsidR="003D3A0E" w:rsidRDefault="003D3A0E" w:rsidP="003D3A0E">
      <w:pPr>
        <w:pStyle w:val="Observation"/>
        <w:numPr>
          <w:ilvl w:val="0"/>
          <w:numId w:val="46"/>
        </w:numPr>
      </w:pPr>
      <w:bookmarkStart w:id="44" w:name="_Toc181352663"/>
      <w:bookmarkStart w:id="45" w:name="_Toc181971095"/>
      <w:r>
        <w:t>During initial cell selection, depending on the NR band and the sync raster frequency, the UE knows what SSB size to expect and whether the transmission/reception will span up to the maximum transmission bandwidth or not.</w:t>
      </w:r>
      <w:bookmarkEnd w:id="44"/>
      <w:bookmarkEnd w:id="45"/>
    </w:p>
    <w:p w14:paraId="05EE5901" w14:textId="77777777" w:rsidR="003E5765" w:rsidRDefault="003D3A0E" w:rsidP="003D3A0E">
      <w:pPr>
        <w:pStyle w:val="Observation"/>
        <w:numPr>
          <w:ilvl w:val="0"/>
          <w:numId w:val="46"/>
        </w:numPr>
      </w:pPr>
      <w:bookmarkStart w:id="46" w:name="_Toc181352664"/>
      <w:bookmarkStart w:id="47" w:name="_Toc181971096"/>
      <w:r>
        <w:t xml:space="preserve">Based on what has been described in the previous bullet, the information provided via SIB1 related to </w:t>
      </w:r>
      <w:r w:rsidR="00C46B7F">
        <w:t>the</w:t>
      </w:r>
      <w:r>
        <w:t xml:space="preserve"> </w:t>
      </w:r>
      <w:r w:rsidR="00C46B7F" w:rsidRPr="00C46B7F">
        <w:rPr>
          <w:i/>
          <w:iCs/>
        </w:rPr>
        <w:t>carrierBandwidth</w:t>
      </w:r>
      <w:r w:rsidR="00C46B7F">
        <w:t xml:space="preserve"> </w:t>
      </w:r>
      <w:r>
        <w:t xml:space="preserve">PRBs </w:t>
      </w:r>
      <w:r w:rsidRPr="00DD3B9B">
        <w:t>will end up being a reconfirmation rather than an indication</w:t>
      </w:r>
      <w:r>
        <w:t xml:space="preserve"> (i.e., PDCCH/PDSCH used to transmit SIB1 already account for it).</w:t>
      </w:r>
      <w:bookmarkEnd w:id="46"/>
      <w:bookmarkEnd w:id="47"/>
    </w:p>
    <w:p w14:paraId="5ADB3DCF" w14:textId="77777777" w:rsidR="00023C1B" w:rsidRDefault="00023C1B" w:rsidP="00023C1B">
      <w:pPr>
        <w:pStyle w:val="Observation"/>
        <w:ind w:left="1701" w:hanging="1701"/>
      </w:pPr>
      <w:bookmarkStart w:id="48" w:name="_Toc181352665"/>
      <w:bookmarkStart w:id="49" w:name="_Toc181971097"/>
      <w:r>
        <w:t xml:space="preserve">In relation with </w:t>
      </w:r>
      <w:r w:rsidRPr="00023C1B">
        <w:rPr>
          <w:i/>
          <w:iCs/>
        </w:rPr>
        <w:t>carrierBandwidth</w:t>
      </w:r>
      <w:r>
        <w:t xml:space="preserve"> </w:t>
      </w:r>
      <w:r w:rsidRPr="00023C1B">
        <w:t>in RRC dedicated signaling</w:t>
      </w:r>
      <w:r>
        <w:t>, from a RAN1 perspective the following technical aspect can be highlighted:</w:t>
      </w:r>
      <w:bookmarkEnd w:id="48"/>
      <w:bookmarkEnd w:id="49"/>
    </w:p>
    <w:p w14:paraId="5277AD9A" w14:textId="2E4E6DB4" w:rsidR="00023C1B" w:rsidRPr="00023C1B" w:rsidRDefault="00023C1B" w:rsidP="00023C1B">
      <w:pPr>
        <w:pStyle w:val="Observation"/>
        <w:numPr>
          <w:ilvl w:val="0"/>
          <w:numId w:val="49"/>
        </w:numPr>
      </w:pPr>
      <w:bookmarkStart w:id="50" w:name="_Toc181352667"/>
      <w:bookmarkStart w:id="51" w:name="_Toc181971098"/>
      <w:r w:rsidRPr="00023C1B">
        <w:t xml:space="preserve">In case of </w:t>
      </w:r>
      <w:r>
        <w:t xml:space="preserve">e.g., </w:t>
      </w:r>
      <w:r w:rsidRPr="00023C1B">
        <w:t xml:space="preserve">handover, the network will provide information about the </w:t>
      </w:r>
      <w:r w:rsidR="00444CE1" w:rsidRPr="00444CE1">
        <w:t>target cell(s) through "RRC dedicated signal" and in this case the carrierBandwidth remains equal to NRB = 15 PRB for 3 MHz CBW/NRB = 25 PRB CBW for 5 MHz CBW since as explained earlier the same RF framework with respect to 15/25 PRB maximum transmission bandwidth configurations apply for 3 MHz/5 MHz CBWs regardless of whether there is the 12/20 RB restriction or not. The restriction shall be handled by scheduling.</w:t>
      </w:r>
      <w:bookmarkEnd w:id="50"/>
      <w:bookmarkEnd w:id="51"/>
    </w:p>
    <w:p w14:paraId="6AA5EDB4" w14:textId="77777777" w:rsidR="00023C1B" w:rsidRDefault="00023C1B" w:rsidP="00023C1B">
      <w:pPr>
        <w:pStyle w:val="Observation"/>
        <w:numPr>
          <w:ilvl w:val="0"/>
          <w:numId w:val="0"/>
        </w:numPr>
        <w:ind w:left="1701"/>
      </w:pPr>
    </w:p>
    <w:p w14:paraId="48B78778" w14:textId="0BEE8C5F" w:rsidR="0041547C" w:rsidRDefault="003268FC" w:rsidP="0041547C">
      <w:pPr>
        <w:pStyle w:val="Observation"/>
        <w:ind w:left="1701" w:hanging="1701"/>
      </w:pPr>
      <w:bookmarkStart w:id="52" w:name="_Toc181352668"/>
      <w:bookmarkStart w:id="53" w:name="_Toc181971099"/>
      <w:r>
        <w:t>Based on previous observations,</w:t>
      </w:r>
      <w:r w:rsidR="00BC1461">
        <w:t xml:space="preserve"> </w:t>
      </w:r>
      <w:r w:rsidRPr="003268FC">
        <w:t xml:space="preserve">indicating in SIB1 </w:t>
      </w:r>
      <w:r w:rsidR="003F05DB">
        <w:t xml:space="preserve">the </w:t>
      </w:r>
      <w:r w:rsidRPr="003F05DB">
        <w:rPr>
          <w:i/>
          <w:iCs/>
        </w:rPr>
        <w:t>carrierBandwidth</w:t>
      </w:r>
      <w:r w:rsidRPr="003268FC">
        <w:t xml:space="preserve"> equal to 15 PRBs for 3 MHz CBW and 25 PRBs for 5 MHz CBW </w:t>
      </w:r>
      <w:r w:rsidR="007926F3">
        <w:t xml:space="preserve">won’t result in a RAN1 impact and </w:t>
      </w:r>
      <w:r w:rsidRPr="003268FC">
        <w:t xml:space="preserve">will mainly serve the purpose of keeping the specification consistent </w:t>
      </w:r>
      <w:r w:rsidR="007926F3">
        <w:t xml:space="preserve">(minimizing </w:t>
      </w:r>
      <w:r w:rsidRPr="003268FC">
        <w:t xml:space="preserve">the </w:t>
      </w:r>
      <w:r w:rsidR="00D030AF">
        <w:t xml:space="preserve">RAN2 </w:t>
      </w:r>
      <w:r w:rsidRPr="003268FC">
        <w:t>specification impact</w:t>
      </w:r>
      <w:r w:rsidR="007926F3">
        <w:t>)</w:t>
      </w:r>
      <w:r w:rsidR="004F1131">
        <w:t>.</w:t>
      </w:r>
      <w:bookmarkEnd w:id="52"/>
      <w:bookmarkEnd w:id="53"/>
    </w:p>
    <w:p w14:paraId="31F25DBE" w14:textId="77777777" w:rsidR="006C1E6A" w:rsidRDefault="00BC1461" w:rsidP="006C1E6A">
      <w:pPr>
        <w:pStyle w:val="Proposal"/>
      </w:pPr>
      <w:bookmarkStart w:id="54" w:name="_Toc181971061"/>
      <w:r>
        <w:t>RAN1 to consider informing RAN2 about the following aspects:</w:t>
      </w:r>
      <w:bookmarkEnd w:id="54"/>
    </w:p>
    <w:p w14:paraId="02723787" w14:textId="75F77938" w:rsidR="00C46B7F" w:rsidRDefault="00C46B7F" w:rsidP="006C1E6A">
      <w:pPr>
        <w:pStyle w:val="Proposal"/>
        <w:numPr>
          <w:ilvl w:val="0"/>
          <w:numId w:val="48"/>
        </w:numPr>
      </w:pPr>
      <w:bookmarkStart w:id="55" w:name="_Toc181971062"/>
      <w:r>
        <w:t>During initial cell selection, depending on the NR band and the sync raster frequency, the UE knows what SSB size to expect and whether the transmission/reception will span up to the maximum transmission bandwidth or not, and PDCCH/PDSCH used to transmit SIB1 already account for it.</w:t>
      </w:r>
      <w:bookmarkEnd w:id="55"/>
    </w:p>
    <w:p w14:paraId="4DDFBB41" w14:textId="7D4120E1" w:rsidR="00023C1B" w:rsidRDefault="00C46B7F" w:rsidP="00023C1B">
      <w:pPr>
        <w:pStyle w:val="Proposal"/>
        <w:numPr>
          <w:ilvl w:val="0"/>
          <w:numId w:val="46"/>
        </w:numPr>
      </w:pPr>
      <w:bookmarkStart w:id="56" w:name="_Toc181971063"/>
      <w:r>
        <w:t>Thus, information provided through SIB1</w:t>
      </w:r>
      <w:r w:rsidR="00604219">
        <w:t xml:space="preserve">, </w:t>
      </w:r>
      <w:r>
        <w:t xml:space="preserve">will </w:t>
      </w:r>
      <w:r w:rsidRPr="00C46B7F">
        <w:t xml:space="preserve">mainly serve the purpose of keeping the specification consistent </w:t>
      </w:r>
      <w:r w:rsidR="007926F3">
        <w:t>(minimizing</w:t>
      </w:r>
      <w:r w:rsidRPr="00C46B7F">
        <w:t xml:space="preserve"> the </w:t>
      </w:r>
      <w:r w:rsidR="00A341B4">
        <w:t xml:space="preserve">RAN2 </w:t>
      </w:r>
      <w:r w:rsidRPr="00C46B7F">
        <w:t>specification impact</w:t>
      </w:r>
      <w:r w:rsidR="00A341B4">
        <w:t>)</w:t>
      </w:r>
      <w:r>
        <w:t>.</w:t>
      </w:r>
      <w:r w:rsidR="007926F3">
        <w:t xml:space="preserve"> RAN1 specification is not impacted.</w:t>
      </w:r>
      <w:bookmarkEnd w:id="56"/>
    </w:p>
    <w:p w14:paraId="22882E91" w14:textId="1A4FD63D" w:rsidR="00C46B7F" w:rsidRPr="00CA3DCE" w:rsidRDefault="007370B3" w:rsidP="00023C1B">
      <w:pPr>
        <w:pStyle w:val="Proposal"/>
        <w:numPr>
          <w:ilvl w:val="0"/>
          <w:numId w:val="46"/>
        </w:numPr>
      </w:pPr>
      <w:bookmarkStart w:id="57" w:name="_Toc181971064"/>
      <w:r>
        <w:lastRenderedPageBreak/>
        <w:t>In view of the above,</w:t>
      </w:r>
      <w:r w:rsidR="00023C1B">
        <w:t xml:space="preserve"> the “</w:t>
      </w:r>
      <w:r w:rsidR="00023C1B" w:rsidRPr="00023C1B">
        <w:rPr>
          <w:i/>
          <w:iCs/>
        </w:rPr>
        <w:t>carrierBandwidth</w:t>
      </w:r>
      <w:r w:rsidR="00023C1B">
        <w:t>” in</w:t>
      </w:r>
      <w:r>
        <w:t xml:space="preserve"> </w:t>
      </w:r>
      <w:r w:rsidR="00DF4FF2">
        <w:t xml:space="preserve">SIB1 </w:t>
      </w:r>
      <w:r>
        <w:t xml:space="preserve">during initial cell selection and </w:t>
      </w:r>
      <w:r w:rsidR="00023C1B">
        <w:t xml:space="preserve">in </w:t>
      </w:r>
      <w:r w:rsidR="00DF4FF2" w:rsidRPr="00DF4FF2">
        <w:t>RRC dedicated signaling</w:t>
      </w:r>
      <w:r w:rsidR="00DF4FF2">
        <w:t xml:space="preserve"> can be configured to be 15 PRBs for 3 MHz CBW and 25 PRBs for 5 MHz CBW.</w:t>
      </w:r>
      <w:bookmarkEnd w:id="57"/>
      <w:r w:rsidR="00C46B7F">
        <w:t xml:space="preserve"> </w:t>
      </w:r>
    </w:p>
    <w:p w14:paraId="5300F849" w14:textId="41904141" w:rsidR="00C01F33" w:rsidRPr="00CE0424" w:rsidRDefault="00B84981"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8" w:name="_In-sequence_SDU_delivery"/>
    <w:bookmarkEnd w:id="58"/>
    <w:p w14:paraId="6204F139" w14:textId="57042E19" w:rsidR="00AF5D8D" w:rsidRDefault="000C11D5"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71076" w:history="1">
        <w:r w:rsidR="00AF5D8D" w:rsidRPr="00DC7794">
          <w:rPr>
            <w:rStyle w:val="Hyperlink"/>
            <w:noProof/>
          </w:rPr>
          <w:t>Observation 1</w:t>
        </w:r>
        <w:r w:rsidR="00AF5D8D">
          <w:rPr>
            <w:rFonts w:asciiTheme="minorHAnsi" w:eastAsiaTheme="minorEastAsia" w:hAnsiTheme="minorHAnsi" w:cstheme="minorBidi"/>
            <w:b w:val="0"/>
            <w:noProof/>
            <w:kern w:val="2"/>
            <w:sz w:val="22"/>
            <w:szCs w:val="22"/>
            <w:lang w:val="en-SE" w:eastAsia="en-SE"/>
            <w14:ligatures w14:val="standardContextual"/>
          </w:rPr>
          <w:tab/>
        </w:r>
        <w:r w:rsidR="00AF5D8D" w:rsidRPr="00DC7794">
          <w:rPr>
            <w:rStyle w:val="Hyperlink"/>
            <w:noProof/>
          </w:rPr>
          <w:t>It is paramount getting a common understanding of the terminology used for the support of “LessThan5MHzFR1”:</w:t>
        </w:r>
      </w:hyperlink>
    </w:p>
    <w:p w14:paraId="72A706AC" w14:textId="21C8FC9D"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77" w:history="1">
        <w:r w:rsidRPr="00DC7794">
          <w:rPr>
            <w:rStyle w:val="Hyperlink"/>
            <w:rFonts w:ascii="Wingdings" w:hAnsi="Wingdings"/>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The term “Channel Bandwidth” is expressed in terms of MHz.</w:t>
        </w:r>
      </w:hyperlink>
    </w:p>
    <w:p w14:paraId="0CB7F511" w14:textId="48AD73FF"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78" w:history="1">
        <w:r w:rsidRPr="00DC7794">
          <w:rPr>
            <w:rStyle w:val="Hyperlink"/>
            <w:rFonts w:ascii="Wingdings" w:hAnsi="Wingdings"/>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“Transmission Bandwidth Configuration N</w:t>
        </w:r>
        <w:r w:rsidRPr="00DC7794">
          <w:rPr>
            <w:rStyle w:val="Hyperlink"/>
            <w:noProof/>
            <w:vertAlign w:val="subscript"/>
          </w:rPr>
          <w:t>RB</w:t>
        </w:r>
        <w:r w:rsidRPr="00DC7794">
          <w:rPr>
            <w:rStyle w:val="Hyperlink"/>
            <w:noProof/>
          </w:rPr>
          <w:t>” refers to the “maximum transmission bandwidth” and is defined in Table 5.3.2-1 of TS 38.101-1.</w:t>
        </w:r>
      </w:hyperlink>
    </w:p>
    <w:p w14:paraId="084134F7" w14:textId="7E611B20" w:rsidR="00AF5D8D" w:rsidRDefault="00AF5D8D" w:rsidP="006602BB">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71079"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3 MHz CBW used along with a 15 kHz SCS, N</w:t>
        </w:r>
        <w:r w:rsidRPr="00DC7794">
          <w:rPr>
            <w:rStyle w:val="Hyperlink"/>
            <w:noProof/>
            <w:vertAlign w:val="subscript"/>
          </w:rPr>
          <w:t>RB</w:t>
        </w:r>
        <w:r w:rsidRPr="00DC7794">
          <w:rPr>
            <w:rStyle w:val="Hyperlink"/>
            <w:noProof/>
          </w:rPr>
          <w:t xml:space="preserve"> = 15.</w:t>
        </w:r>
      </w:hyperlink>
    </w:p>
    <w:p w14:paraId="4899AC84" w14:textId="2218699D" w:rsidR="00AF5D8D" w:rsidRDefault="00AF5D8D" w:rsidP="006602BB">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1971080"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5 MHz CBW used along with a 15 kHz SCS, N</w:t>
        </w:r>
        <w:r w:rsidRPr="00DC7794">
          <w:rPr>
            <w:rStyle w:val="Hyperlink"/>
            <w:noProof/>
            <w:vertAlign w:val="subscript"/>
          </w:rPr>
          <w:t>RB</w:t>
        </w:r>
        <w:r w:rsidRPr="00DC7794">
          <w:rPr>
            <w:rStyle w:val="Hyperlink"/>
            <w:noProof/>
          </w:rPr>
          <w:t xml:space="preserve"> = 25.</w:t>
        </w:r>
      </w:hyperlink>
    </w:p>
    <w:p w14:paraId="4A7C140D" w14:textId="7C3597FF"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81" w:history="1">
        <w:r w:rsidRPr="00DC7794">
          <w:rPr>
            <w:rStyle w:val="Hyperlink"/>
            <w:rFonts w:ascii="Wingdings" w:hAnsi="Wingdings"/>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The term “Transmission Bandwidth” is defined in terms of Resource Blocks (RB).</w:t>
        </w:r>
      </w:hyperlink>
    </w:p>
    <w:p w14:paraId="151A173C" w14:textId="557FC0AE"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82" w:history="1">
        <w:r w:rsidRPr="00DC7794">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Under the RF framework of a 3 MHz channel bandwidth there are two use cases:</w:t>
        </w:r>
      </w:hyperlink>
    </w:p>
    <w:p w14:paraId="24FA0A7A" w14:textId="735A2747"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83" w:history="1">
        <w:r w:rsidRPr="00DC7794">
          <w:rPr>
            <w:rStyle w:val="Hyperlink"/>
            <w:noProof/>
          </w:rPr>
          <w:t>A)</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NR bands n100, n106, n26, n28 and n85, the transmission/reception can span up to the maximum transmission bandwidth (i.e., N</w:t>
        </w:r>
        <w:r w:rsidRPr="00DC7794">
          <w:rPr>
            <w:rStyle w:val="Hyperlink"/>
            <w:noProof/>
            <w:vertAlign w:val="subscript"/>
          </w:rPr>
          <w:t>RB</w:t>
        </w:r>
        <w:r w:rsidRPr="00DC7794">
          <w:rPr>
            <w:rStyle w:val="Hyperlink"/>
            <w:noProof/>
          </w:rPr>
          <w:t xml:space="preserve"> = 15 PRBs)</w:t>
        </w:r>
      </w:hyperlink>
    </w:p>
    <w:p w14:paraId="2770AE35" w14:textId="2C5E5787"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84" w:history="1">
        <w:r w:rsidRPr="00DC7794">
          <w:rPr>
            <w:rStyle w:val="Hyperlink"/>
            <w:noProof/>
          </w:rPr>
          <w:t>B)</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NR band n100 and only for a sync raster frequency at 920.73 MHz, the transmission/reception can span (through a proper scheduling) up to 12-PRBs within the maximum transmission bandwidth (i.e., N</w:t>
        </w:r>
        <w:r w:rsidRPr="00DC7794">
          <w:rPr>
            <w:rStyle w:val="Hyperlink"/>
            <w:noProof/>
            <w:vertAlign w:val="subscript"/>
          </w:rPr>
          <w:t>RB</w:t>
        </w:r>
        <w:r w:rsidRPr="00DC7794">
          <w:rPr>
            <w:rStyle w:val="Hyperlink"/>
            <w:noProof/>
          </w:rPr>
          <w:t xml:space="preserve"> = 15 PRBs).</w:t>
        </w:r>
      </w:hyperlink>
    </w:p>
    <w:p w14:paraId="28D7F076" w14:textId="4419670B"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85" w:history="1">
        <w:r w:rsidRPr="00DC7794">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The RAN2 LS states “</w:t>
        </w:r>
        <w:r w:rsidRPr="00DC7794">
          <w:rPr>
            <w:rStyle w:val="Hyperlink"/>
            <w:i/>
            <w:iCs/>
            <w:noProof/>
          </w:rPr>
          <w:t>to avoid unnecessary cell barring, from RAN2 perspective, the network needs to set carrierBandwidth to a value equal or larger than 15 PRB for the 12 PRB case</w:t>
        </w:r>
        <w:r w:rsidRPr="00DC7794">
          <w:rPr>
            <w:rStyle w:val="Hyperlink"/>
            <w:noProof/>
          </w:rPr>
          <w:t>”. In relation with it, in this case the “carrierBandwidth” refers to the maximum transmission bandwidth, and on that matter N</w:t>
        </w:r>
        <w:r w:rsidRPr="00DC7794">
          <w:rPr>
            <w:rStyle w:val="Hyperlink"/>
            <w:noProof/>
            <w:vertAlign w:val="subscript"/>
          </w:rPr>
          <w:t>RB</w:t>
        </w:r>
        <w:r w:rsidRPr="00DC7794">
          <w:rPr>
            <w:rStyle w:val="Hyperlink"/>
            <w:noProof/>
          </w:rPr>
          <w:t xml:space="preserve"> = 15 PRBs for both transmission/reception spanning up to 15 PRBs and for transmission/reception confined (via scheduling) up to 12 PRBs.</w:t>
        </w:r>
      </w:hyperlink>
    </w:p>
    <w:p w14:paraId="7F30A419" w14:textId="2598E453"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86"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3 MHz CBW with 15 kHz SCS, N</w:t>
        </w:r>
        <w:r w:rsidRPr="00DC7794">
          <w:rPr>
            <w:rStyle w:val="Hyperlink"/>
            <w:noProof/>
            <w:vertAlign w:val="subscript"/>
          </w:rPr>
          <w:t>RB</w:t>
        </w:r>
        <w:r w:rsidRPr="00DC7794">
          <w:rPr>
            <w:rStyle w:val="Hyperlink"/>
            <w:noProof/>
          </w:rPr>
          <w:t xml:space="preserve"> = 15 is the only value in Table 5.3.2-1 of TS 38.101-1.</w:t>
        </w:r>
      </w:hyperlink>
    </w:p>
    <w:p w14:paraId="08144CFE" w14:textId="33A62152"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87" w:history="1">
        <w:r w:rsidRPr="00DC7794">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Under the RF framework of a 5 MHz channel bandwidth there are two use cases:</w:t>
        </w:r>
      </w:hyperlink>
    </w:p>
    <w:p w14:paraId="0DDA7422" w14:textId="7ED2EE5A"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88" w:history="1">
        <w:r w:rsidRPr="00DC7794">
          <w:rPr>
            <w:rStyle w:val="Hyperlink"/>
            <w:noProof/>
          </w:rPr>
          <w:t>A)</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Legacy 5 MHz CBW as prior to Rel-18.</w:t>
        </w:r>
      </w:hyperlink>
    </w:p>
    <w:p w14:paraId="10A5F740" w14:textId="3E1F5A9E"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89" w:history="1">
        <w:r w:rsidRPr="00DC7794">
          <w:rPr>
            <w:rStyle w:val="Hyperlink"/>
            <w:noProof/>
          </w:rPr>
          <w:t>B)</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NR band n100 and only for a sync raster frequency at 921.45 MHz, the transmission/reception can span (through a proper scheduling) up to 20-PRBs within the maximum transmission bandwidth (i.e., N</w:t>
        </w:r>
        <w:r w:rsidRPr="00DC7794">
          <w:rPr>
            <w:rStyle w:val="Hyperlink"/>
            <w:noProof/>
            <w:vertAlign w:val="subscript"/>
          </w:rPr>
          <w:t>RB</w:t>
        </w:r>
        <w:r w:rsidRPr="00DC7794">
          <w:rPr>
            <w:rStyle w:val="Hyperlink"/>
            <w:noProof/>
          </w:rPr>
          <w:t xml:space="preserve"> = 25 PRBs).</w:t>
        </w:r>
      </w:hyperlink>
    </w:p>
    <w:p w14:paraId="4A0AFCE2" w14:textId="7477B636"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90" w:history="1">
        <w:r w:rsidRPr="00DC7794">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The RAN2 LS states “</w:t>
        </w:r>
        <w:r w:rsidRPr="00DC7794">
          <w:rPr>
            <w:rStyle w:val="Hyperlink"/>
            <w:i/>
            <w:iCs/>
            <w:noProof/>
          </w:rPr>
          <w:t>to avoid unnecessary cell barring, from RAN2 perspective, the network needs to set carrierBandwidth to a value equal or larger than 25 PRB for the 20 PRB case</w:t>
        </w:r>
        <w:r w:rsidRPr="00DC7794">
          <w:rPr>
            <w:rStyle w:val="Hyperlink"/>
            <w:noProof/>
          </w:rPr>
          <w:t>”. In relation with it, in this case the “carrierBandwidth” refers to the maximum transmission bandwidth, and on that matter N</w:t>
        </w:r>
        <w:r w:rsidRPr="00DC7794">
          <w:rPr>
            <w:rStyle w:val="Hyperlink"/>
            <w:noProof/>
            <w:vertAlign w:val="subscript"/>
          </w:rPr>
          <w:t>RB</w:t>
        </w:r>
        <w:r w:rsidRPr="00DC7794">
          <w:rPr>
            <w:rStyle w:val="Hyperlink"/>
            <w:noProof/>
          </w:rPr>
          <w:t xml:space="preserve"> = 25 PRBs for both transmission/reception spanning up to 25 PRBs and for transmission/reception confined (via scheduling) up to 20 PRBs.</w:t>
        </w:r>
      </w:hyperlink>
    </w:p>
    <w:p w14:paraId="22945181" w14:textId="2D657006"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91"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For 5 MHz CBW with 15 kHz SCS, N</w:t>
        </w:r>
        <w:r w:rsidRPr="00DC7794">
          <w:rPr>
            <w:rStyle w:val="Hyperlink"/>
            <w:noProof/>
            <w:vertAlign w:val="subscript"/>
          </w:rPr>
          <w:t>RB</w:t>
        </w:r>
        <w:r w:rsidRPr="00DC7794">
          <w:rPr>
            <w:rStyle w:val="Hyperlink"/>
            <w:noProof/>
          </w:rPr>
          <w:t xml:space="preserve"> = 25 is the only value in Table 5.3.2-1 of TS 38.101-1.</w:t>
        </w:r>
      </w:hyperlink>
    </w:p>
    <w:p w14:paraId="2F078ED1" w14:textId="1143289B"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92" w:history="1">
        <w:r w:rsidRPr="00DC7794">
          <w:rPr>
            <w:rStyle w:val="Hyperlink"/>
            <w:noProof/>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The RAN2 LS mentions whether “</w:t>
        </w:r>
        <w:r w:rsidRPr="00DC7794">
          <w:rPr>
            <w:rStyle w:val="Hyperlink"/>
            <w:i/>
            <w:iCs/>
            <w:noProof/>
          </w:rPr>
          <w:t>it is feasible to configure carrierBandwidth to 15 PRB (for the 12 PRB case) and 25 PRB (for the 20 PRB) case respectively in SIB1 and in RRC dedicated signaling, and if not what values should be configured</w:t>
        </w:r>
        <w:r w:rsidRPr="00DC7794">
          <w:rPr>
            <w:rStyle w:val="Hyperlink"/>
            <w:noProof/>
          </w:rPr>
          <w:t>”.</w:t>
        </w:r>
      </w:hyperlink>
    </w:p>
    <w:p w14:paraId="4FFEB04E" w14:textId="4610188C"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93" w:history="1">
        <w:r w:rsidRPr="00DC7794">
          <w:rPr>
            <w:rStyle w:val="Hyperlink"/>
            <w:noProof/>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As mentioned earlier, for a 3 MHz CBW N</w:t>
        </w:r>
        <w:r w:rsidRPr="00DC7794">
          <w:rPr>
            <w:rStyle w:val="Hyperlink"/>
            <w:noProof/>
            <w:vertAlign w:val="subscript"/>
          </w:rPr>
          <w:t>RB</w:t>
        </w:r>
        <w:r w:rsidRPr="00DC7794">
          <w:rPr>
            <w:rStyle w:val="Hyperlink"/>
            <w:noProof/>
          </w:rPr>
          <w:t xml:space="preserve"> = 15 PRBs regardless of whether all PRBs are utilizable or not since the cases under its scope are built under the same RF framework, and similarly for a 5 MHz CBW N</w:t>
        </w:r>
        <w:r w:rsidRPr="00DC7794">
          <w:rPr>
            <w:rStyle w:val="Hyperlink"/>
            <w:noProof/>
            <w:vertAlign w:val="subscript"/>
          </w:rPr>
          <w:t>RB</w:t>
        </w:r>
        <w:r w:rsidRPr="00DC7794">
          <w:rPr>
            <w:rStyle w:val="Hyperlink"/>
            <w:noProof/>
          </w:rPr>
          <w:t xml:space="preserve"> = 25 PRBs regardless of whether all PRBs are utilizable or not.</w:t>
        </w:r>
      </w:hyperlink>
    </w:p>
    <w:p w14:paraId="78BE8C01" w14:textId="466FF5C7"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94" w:history="1">
        <w:r w:rsidRPr="00DC7794">
          <w:rPr>
            <w:rStyle w:val="Hyperlink"/>
            <w:noProof/>
          </w:rPr>
          <w:t>Observation 8</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 xml:space="preserve">In relation with </w:t>
        </w:r>
        <w:r w:rsidRPr="00DC7794">
          <w:rPr>
            <w:rStyle w:val="Hyperlink"/>
            <w:i/>
            <w:iCs/>
            <w:noProof/>
          </w:rPr>
          <w:t>carrierBandwidth</w:t>
        </w:r>
        <w:r w:rsidRPr="00DC7794">
          <w:rPr>
            <w:rStyle w:val="Hyperlink"/>
            <w:noProof/>
          </w:rPr>
          <w:t xml:space="preserve"> in SIB1, from a RAN1 perspective the following technical aspect can be highlighted:</w:t>
        </w:r>
      </w:hyperlink>
    </w:p>
    <w:p w14:paraId="410E033D" w14:textId="12C2A1EB"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95"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During initial cell selection, depending on the NR band and the sync raster frequency, the UE knows what SSB size to expect and whether the transmission/reception will span up to the maximum transmission bandwidth or not.</w:t>
        </w:r>
      </w:hyperlink>
    </w:p>
    <w:p w14:paraId="519F252F" w14:textId="25CD612D"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96"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 xml:space="preserve">Based on what has been described in the previous bullet, the information provided via SIB1 related to the </w:t>
        </w:r>
        <w:r w:rsidRPr="00DC7794">
          <w:rPr>
            <w:rStyle w:val="Hyperlink"/>
            <w:i/>
            <w:iCs/>
            <w:noProof/>
          </w:rPr>
          <w:t>carrierBandwidth</w:t>
        </w:r>
        <w:r w:rsidRPr="00DC7794">
          <w:rPr>
            <w:rStyle w:val="Hyperlink"/>
            <w:noProof/>
          </w:rPr>
          <w:t xml:space="preserve"> PRBs will end up being a reconfirmation rather than an indication (i.e., PDCCH/PDSCH used to transmit SIB1 already account for it).</w:t>
        </w:r>
      </w:hyperlink>
    </w:p>
    <w:p w14:paraId="616256BC" w14:textId="02A41D89"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97" w:history="1">
        <w:r w:rsidRPr="00DC7794">
          <w:rPr>
            <w:rStyle w:val="Hyperlink"/>
            <w:noProof/>
          </w:rPr>
          <w:t>Observation 9</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 xml:space="preserve">In relation with </w:t>
        </w:r>
        <w:r w:rsidRPr="00DC7794">
          <w:rPr>
            <w:rStyle w:val="Hyperlink"/>
            <w:i/>
            <w:iCs/>
            <w:noProof/>
          </w:rPr>
          <w:t>carrierBandwidth</w:t>
        </w:r>
        <w:r w:rsidRPr="00DC7794">
          <w:rPr>
            <w:rStyle w:val="Hyperlink"/>
            <w:noProof/>
          </w:rPr>
          <w:t xml:space="preserve"> in RRC dedicated signaling, from a RAN1 perspective the following technical aspect can be highlighted:</w:t>
        </w:r>
      </w:hyperlink>
    </w:p>
    <w:p w14:paraId="14A66243" w14:textId="425CCB83" w:rsidR="00AF5D8D" w:rsidRDefault="00AF5D8D"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98" w:history="1">
        <w:r w:rsidRPr="00DC7794">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In case of e.g., handover, the network will provide information about the target cell(s) through "RRC dedicated signal" and in this case the carrierBandwidth remains equal to NRB = 15 PRB for 3 MHz CBW/NRB = 25 PRB CBW for 5 MHz CBW since as explained earlier the same RF framework with respect to 15/25 PRB maximum transmission bandwidth configurations apply for 3 MHz/5 MHz CBWs regardless of whether there is the 12/20 RB restriction or not. The restriction shall be handled by scheduling.</w:t>
        </w:r>
      </w:hyperlink>
    </w:p>
    <w:p w14:paraId="4E145066" w14:textId="59DAE026" w:rsidR="00AF5D8D" w:rsidRDefault="00AF5D8D"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71099" w:history="1">
        <w:r w:rsidRPr="00DC7794">
          <w:rPr>
            <w:rStyle w:val="Hyperlink"/>
            <w:noProof/>
          </w:rPr>
          <w:t>Observation 10</w:t>
        </w:r>
        <w:r>
          <w:rPr>
            <w:rFonts w:asciiTheme="minorHAnsi" w:eastAsiaTheme="minorEastAsia" w:hAnsiTheme="minorHAnsi" w:cstheme="minorBidi"/>
            <w:b w:val="0"/>
            <w:noProof/>
            <w:kern w:val="2"/>
            <w:sz w:val="22"/>
            <w:szCs w:val="22"/>
            <w:lang w:val="en-SE" w:eastAsia="en-SE"/>
            <w14:ligatures w14:val="standardContextual"/>
          </w:rPr>
          <w:tab/>
        </w:r>
        <w:r w:rsidRPr="00DC7794">
          <w:rPr>
            <w:rStyle w:val="Hyperlink"/>
            <w:noProof/>
          </w:rPr>
          <w:t xml:space="preserve">Based on previous observations, indicating in SIB1 the </w:t>
        </w:r>
        <w:r w:rsidRPr="00DC7794">
          <w:rPr>
            <w:rStyle w:val="Hyperlink"/>
            <w:i/>
            <w:iCs/>
            <w:noProof/>
          </w:rPr>
          <w:t>carrierBandwidth</w:t>
        </w:r>
        <w:r w:rsidRPr="00DC7794">
          <w:rPr>
            <w:rStyle w:val="Hyperlink"/>
            <w:noProof/>
          </w:rPr>
          <w:t xml:space="preserve"> equal to 15 PRBs for 3 MHz CBW and 25 PRBs for 5 MHz CBW won’t result in a RAN1 impact and will mainly serve the purpose of keeping the specification consistent (minimizing the RAN2 specification impact).</w:t>
        </w:r>
      </w:hyperlink>
    </w:p>
    <w:p w14:paraId="1326AAFE" w14:textId="7C5D2B66" w:rsidR="00F43A93" w:rsidRDefault="000C11D5" w:rsidP="00604219">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10FADA1" w14:textId="377B6D56" w:rsidR="00B154B9" w:rsidRDefault="000C11D5" w:rsidP="006602B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71061" w:history="1">
        <w:r w:rsidR="00B154B9" w:rsidRPr="0033467D">
          <w:rPr>
            <w:rStyle w:val="Hyperlink"/>
            <w:noProof/>
          </w:rPr>
          <w:t>Proposal 1</w:t>
        </w:r>
        <w:r w:rsidR="00B154B9">
          <w:rPr>
            <w:rFonts w:asciiTheme="minorHAnsi" w:eastAsiaTheme="minorEastAsia" w:hAnsiTheme="minorHAnsi" w:cstheme="minorBidi"/>
            <w:b w:val="0"/>
            <w:noProof/>
            <w:kern w:val="2"/>
            <w:sz w:val="22"/>
            <w:szCs w:val="22"/>
            <w:lang w:val="en-SE" w:eastAsia="en-SE"/>
            <w14:ligatures w14:val="standardContextual"/>
          </w:rPr>
          <w:tab/>
        </w:r>
        <w:r w:rsidR="00B154B9" w:rsidRPr="0033467D">
          <w:rPr>
            <w:rStyle w:val="Hyperlink"/>
            <w:noProof/>
          </w:rPr>
          <w:t>RAN1 to consider informing RAN2 about the following aspects:</w:t>
        </w:r>
      </w:hyperlink>
    </w:p>
    <w:p w14:paraId="4184C40B" w14:textId="47BF5677" w:rsidR="00B154B9" w:rsidRDefault="00B154B9"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62" w:history="1">
        <w:r w:rsidRPr="0033467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3467D">
          <w:rPr>
            <w:rStyle w:val="Hyperlink"/>
            <w:noProof/>
          </w:rPr>
          <w:t>During initial cell selection, depending on the NR band and the sync raster frequency, the UE knows what SSB size to expect and whether the transmission/reception will span up to the maximum transmission bandwidth or not, and PDCCH/PDSCH used to transmitSIB1 already account for it.</w:t>
        </w:r>
      </w:hyperlink>
    </w:p>
    <w:p w14:paraId="1D61A993" w14:textId="44A5802F" w:rsidR="00B154B9" w:rsidRDefault="00B154B9"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63" w:history="1">
        <w:r w:rsidRPr="0033467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3467D">
          <w:rPr>
            <w:rStyle w:val="Hyperlink"/>
            <w:noProof/>
          </w:rPr>
          <w:t>Thus, information provided through SIB1, will mainly serve the purpose of keeping the specification consistent (minimizing the RAN2 specification impact). RAN1 specification is not impacted.</w:t>
        </w:r>
      </w:hyperlink>
    </w:p>
    <w:p w14:paraId="46B31C22" w14:textId="7D56B849" w:rsidR="00B154B9" w:rsidRDefault="00B154B9" w:rsidP="006602BB">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71064" w:history="1">
        <w:r w:rsidRPr="0033467D">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33467D">
          <w:rPr>
            <w:rStyle w:val="Hyperlink"/>
            <w:noProof/>
          </w:rPr>
          <w:t>In view of the above, the “</w:t>
        </w:r>
        <w:r w:rsidRPr="0033467D">
          <w:rPr>
            <w:rStyle w:val="Hyperlink"/>
            <w:i/>
            <w:iCs/>
            <w:noProof/>
          </w:rPr>
          <w:t>carrierBandwidth</w:t>
        </w:r>
        <w:r w:rsidRPr="0033467D">
          <w:rPr>
            <w:rStyle w:val="Hyperlink"/>
            <w:noProof/>
          </w:rPr>
          <w:t>” in SIB1 during initial cell selection and in RRC dedicated signaling can be configured to be 15 PRBs for 3 MHz CBW and 25 PRBs for 5 MHz CBW.</w:t>
        </w:r>
      </w:hyperlink>
    </w:p>
    <w:p w14:paraId="337FD414" w14:textId="604B12E0" w:rsidR="0052469A" w:rsidRPr="00136A93" w:rsidRDefault="000C11D5" w:rsidP="002977CE">
      <w:pPr>
        <w:pStyle w:val="Proposal"/>
        <w:numPr>
          <w:ilvl w:val="0"/>
          <w:numId w:val="0"/>
        </w:numPr>
      </w:pPr>
      <w:r>
        <w:rPr>
          <w:lang w:val="en-US"/>
        </w:rPr>
        <w:fldChar w:fldCharType="end"/>
      </w:r>
    </w:p>
    <w:p w14:paraId="7203AEF7" w14:textId="44CF4564" w:rsidR="00F507D1" w:rsidRPr="00CE0424" w:rsidRDefault="00B84981" w:rsidP="00CE0424">
      <w:pPr>
        <w:pStyle w:val="Heading1"/>
      </w:pPr>
      <w:r>
        <w:t>4</w:t>
      </w:r>
      <w:r w:rsidR="0074637E">
        <w:tab/>
      </w:r>
      <w:r w:rsidR="00F507D1" w:rsidRPr="00CE0424">
        <w:t>References</w:t>
      </w:r>
    </w:p>
    <w:bookmarkStart w:id="59" w:name="_Ref174151459"/>
    <w:bookmarkStart w:id="60" w:name="_Ref189809556"/>
    <w:bookmarkStart w:id="61" w:name="_Ref525824664"/>
    <w:bookmarkStart w:id="62" w:name="_Hlk4751152"/>
    <w:p w14:paraId="27014B43" w14:textId="3E0B6B52" w:rsidR="00E732B3" w:rsidRDefault="006B7AD6" w:rsidP="00F22BD5">
      <w:pPr>
        <w:pStyle w:val="Reference"/>
      </w:pPr>
      <w:r w:rsidRPr="003D4E6B">
        <w:rPr>
          <w:rFonts w:eastAsia="Times New Roman" w:cs="Arial"/>
          <w:color w:val="0000FF"/>
          <w:u w:val="single"/>
          <w:lang w:val="en-SE" w:eastAsia="en-SE"/>
        </w:rPr>
        <w:fldChar w:fldCharType="begin"/>
      </w:r>
      <w:r w:rsidRPr="003D4E6B">
        <w:rPr>
          <w:rFonts w:eastAsia="Times New Roman" w:cs="Arial"/>
          <w:color w:val="0000FF"/>
          <w:u w:val="single"/>
          <w:lang w:val="en-SE" w:eastAsia="en-SE"/>
        </w:rPr>
        <w:instrText>HYPERLINK "https://www.3gpp.org/ftp/tsg_ran/WG2_RL2/TSGR2_127bis/Docs/R2-2409409.zip"</w:instrText>
      </w:r>
      <w:r w:rsidRPr="003D4E6B">
        <w:rPr>
          <w:rFonts w:eastAsia="Times New Roman" w:cs="Arial"/>
          <w:color w:val="0000FF"/>
          <w:u w:val="single"/>
          <w:lang w:val="en-SE" w:eastAsia="en-SE"/>
        </w:rPr>
      </w:r>
      <w:r w:rsidRPr="003D4E6B">
        <w:rPr>
          <w:rFonts w:eastAsia="Times New Roman" w:cs="Arial"/>
          <w:color w:val="0000FF"/>
          <w:u w:val="single"/>
          <w:lang w:val="en-SE" w:eastAsia="en-SE"/>
        </w:rPr>
        <w:fldChar w:fldCharType="separate"/>
      </w:r>
      <w:r w:rsidRPr="003D4E6B">
        <w:rPr>
          <w:rFonts w:eastAsia="Times New Roman" w:cs="Arial"/>
          <w:color w:val="0000FF"/>
          <w:u w:val="single"/>
          <w:lang w:val="en-SE" w:eastAsia="en-SE"/>
        </w:rPr>
        <w:t>R2-2409409</w:t>
      </w:r>
      <w:r w:rsidRPr="003D4E6B">
        <w:rPr>
          <w:rFonts w:eastAsia="Times New Roman" w:cs="Arial"/>
          <w:color w:val="0000FF"/>
          <w:u w:val="single"/>
          <w:lang w:val="en-SE" w:eastAsia="en-SE"/>
        </w:rPr>
        <w:fldChar w:fldCharType="end"/>
      </w:r>
      <w:r w:rsidR="00B92CDF" w:rsidRPr="006B7AD6">
        <w:rPr>
          <w:rFonts w:cs="Arial"/>
        </w:rPr>
        <w:t>,</w:t>
      </w:r>
      <w:r w:rsidR="00B92CDF" w:rsidRPr="00B92CDF">
        <w:t xml:space="preserve"> </w:t>
      </w:r>
      <w:r w:rsidR="004B4854" w:rsidRPr="007679C6">
        <w:t>“</w:t>
      </w:r>
      <w:r w:rsidRPr="006B7AD6">
        <w:t>LS on carrierBandwidth configuration for less-than-5MHz carriers</w:t>
      </w:r>
      <w:r w:rsidR="004B4854" w:rsidRPr="007679C6">
        <w:t>”</w:t>
      </w:r>
      <w:r w:rsidR="00CF4F41" w:rsidRPr="007679C6">
        <w:t xml:space="preserve">, </w:t>
      </w:r>
      <w:r w:rsidRPr="006B7AD6">
        <w:t>3GPP TSG-RAN WG2 Meeting #127bis</w:t>
      </w:r>
      <w:r w:rsidR="00CF4F41" w:rsidRPr="007679C6">
        <w:t xml:space="preserve">, </w:t>
      </w:r>
      <w:r w:rsidRPr="006B7AD6">
        <w:t xml:space="preserve">Hefei, Anhui, China, 14 - 18 </w:t>
      </w:r>
      <w:proofErr w:type="gramStart"/>
      <w:r w:rsidRPr="006B7AD6">
        <w:t>October,</w:t>
      </w:r>
      <w:proofErr w:type="gramEnd"/>
      <w:r w:rsidRPr="006B7AD6">
        <w:t xml:space="preserve"> 2024</w:t>
      </w:r>
      <w:r w:rsidR="00CF4F41" w:rsidRPr="007679C6">
        <w:t>.</w:t>
      </w:r>
      <w:bookmarkEnd w:id="59"/>
      <w:bookmarkEnd w:id="60"/>
      <w:bookmarkEnd w:id="61"/>
      <w:bookmarkEnd w:id="62"/>
    </w:p>
    <w:p w14:paraId="14241AD0" w14:textId="44C8014B" w:rsidR="00096AE5" w:rsidRDefault="005D7A75" w:rsidP="006B7AD6">
      <w:pPr>
        <w:pStyle w:val="Reference"/>
      </w:pPr>
      <w:r>
        <w:t>3GPP TS</w:t>
      </w:r>
      <w:r w:rsidR="006B7AD6">
        <w:t xml:space="preserve"> 38.101-1, “</w:t>
      </w:r>
      <w:r w:rsidR="006B7AD6" w:rsidRPr="006B7AD6">
        <w:t>NR; User Equipment (UE) radio transmission and reception; Part 1: Range 1 Standalone</w:t>
      </w:r>
      <w:r w:rsidR="006B7AD6">
        <w:t xml:space="preserve">,” </w:t>
      </w:r>
      <w:hyperlink r:id="rId20" w:history="1">
        <w:r w:rsidR="006B7AD6" w:rsidRPr="006B7AD6">
          <w:rPr>
            <w:rStyle w:val="Hyperlink"/>
          </w:rPr>
          <w:t>version 18.7.0</w:t>
        </w:r>
      </w:hyperlink>
      <w:r w:rsidR="006B7AD6">
        <w:t>.</w:t>
      </w:r>
    </w:p>
    <w:sectPr w:rsidR="00096AE5" w:rsidSect="0051440C">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3E43" w14:textId="77777777" w:rsidR="002F1A54" w:rsidRDefault="002F1A54">
      <w:r>
        <w:separator/>
      </w:r>
    </w:p>
  </w:endnote>
  <w:endnote w:type="continuationSeparator" w:id="0">
    <w:p w14:paraId="539CF2F3" w14:textId="77777777" w:rsidR="002F1A54" w:rsidRDefault="002F1A54">
      <w:r>
        <w:continuationSeparator/>
      </w:r>
    </w:p>
  </w:endnote>
  <w:endnote w:type="continuationNotice" w:id="1">
    <w:p w14:paraId="61B06703"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FA1D" w14:textId="77777777" w:rsidR="002F1A54" w:rsidRDefault="002F1A54">
      <w:r>
        <w:separator/>
      </w:r>
    </w:p>
  </w:footnote>
  <w:footnote w:type="continuationSeparator" w:id="0">
    <w:p w14:paraId="57F1630F" w14:textId="77777777" w:rsidR="002F1A54" w:rsidRDefault="002F1A54">
      <w:r>
        <w:continuationSeparator/>
      </w:r>
    </w:p>
  </w:footnote>
  <w:footnote w:type="continuationNotice" w:id="1">
    <w:p w14:paraId="4CF8F7C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27570DF"/>
    <w:multiLevelType w:val="hybridMultilevel"/>
    <w:tmpl w:val="E4C04AC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529D1"/>
    <w:multiLevelType w:val="hybridMultilevel"/>
    <w:tmpl w:val="30F6A656"/>
    <w:lvl w:ilvl="0" w:tplc="A90A900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EB199E"/>
    <w:multiLevelType w:val="hybridMultilevel"/>
    <w:tmpl w:val="35648B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1" w15:restartNumberingAfterBreak="0">
    <w:nsid w:val="18DD7A13"/>
    <w:multiLevelType w:val="hybridMultilevel"/>
    <w:tmpl w:val="1C6EF5DA"/>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7A0DA0"/>
    <w:multiLevelType w:val="hybridMultilevel"/>
    <w:tmpl w:val="A38CE52E"/>
    <w:lvl w:ilvl="0" w:tplc="20000015">
      <w:start w:val="1"/>
      <w:numFmt w:val="upperLetter"/>
      <w:lvlText w:val="%1."/>
      <w:lvlJc w:val="left"/>
      <w:pPr>
        <w:ind w:left="2061" w:hanging="360"/>
      </w:pPr>
      <w:rPr>
        <w:rFont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9" w15:restartNumberingAfterBreak="0">
    <w:nsid w:val="2AEA7C1B"/>
    <w:multiLevelType w:val="hybridMultilevel"/>
    <w:tmpl w:val="657472AA"/>
    <w:lvl w:ilvl="0" w:tplc="FFFFFFFF">
      <w:start w:val="1"/>
      <w:numFmt w:val="upperLetter"/>
      <w:lvlText w:val="%1)"/>
      <w:lvlJc w:val="left"/>
      <w:pPr>
        <w:ind w:left="2061" w:hanging="360"/>
      </w:pPr>
      <w:rPr>
        <w:rFont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20"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6" w15:restartNumberingAfterBreak="0">
    <w:nsid w:val="38B402B2"/>
    <w:multiLevelType w:val="hybridMultilevel"/>
    <w:tmpl w:val="657472AA"/>
    <w:lvl w:ilvl="0" w:tplc="1E90CCA0">
      <w:start w:val="1"/>
      <w:numFmt w:val="upperLetter"/>
      <w:lvlText w:val="%1)"/>
      <w:lvlJc w:val="left"/>
      <w:pPr>
        <w:ind w:left="2061" w:hanging="360"/>
      </w:pPr>
      <w:rPr>
        <w:rFont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2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18A03CE"/>
    <w:multiLevelType w:val="hybridMultilevel"/>
    <w:tmpl w:val="68E466C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34AA9"/>
    <w:multiLevelType w:val="hybridMultilevel"/>
    <w:tmpl w:val="54A2445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A91569"/>
    <w:multiLevelType w:val="hybridMultilevel"/>
    <w:tmpl w:val="2A50C3A4"/>
    <w:lvl w:ilvl="0" w:tplc="20000017">
      <w:start w:val="1"/>
      <w:numFmt w:val="lowerLetter"/>
      <w:lvlText w:val="%1)"/>
      <w:lvlJc w:val="left"/>
      <w:pPr>
        <w:ind w:left="2061" w:hanging="360"/>
      </w:pPr>
      <w:rPr>
        <w:rFont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0C94375"/>
    <w:multiLevelType w:val="hybridMultilevel"/>
    <w:tmpl w:val="1FC06D8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2"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33"/>
  </w:num>
  <w:num w:numId="2" w16cid:durableId="1118790765">
    <w:abstractNumId w:val="27"/>
  </w:num>
  <w:num w:numId="3" w16cid:durableId="1689137301">
    <w:abstractNumId w:val="0"/>
  </w:num>
  <w:num w:numId="4" w16cid:durableId="1071344800">
    <w:abstractNumId w:val="36"/>
  </w:num>
  <w:num w:numId="5" w16cid:durableId="1434671129">
    <w:abstractNumId w:val="38"/>
  </w:num>
  <w:num w:numId="6" w16cid:durableId="1884755429">
    <w:abstractNumId w:val="40"/>
  </w:num>
  <w:num w:numId="7" w16cid:durableId="1009648021">
    <w:abstractNumId w:val="12"/>
  </w:num>
  <w:num w:numId="8" w16cid:durableId="937637647">
    <w:abstractNumId w:val="17"/>
  </w:num>
  <w:num w:numId="9" w16cid:durableId="849417896">
    <w:abstractNumId w:val="6"/>
  </w:num>
  <w:num w:numId="10" w16cid:durableId="1199389102">
    <w:abstractNumId w:val="46"/>
  </w:num>
  <w:num w:numId="11" w16cid:durableId="1019048365">
    <w:abstractNumId w:val="24"/>
  </w:num>
  <w:num w:numId="12" w16cid:durableId="35859111">
    <w:abstractNumId w:val="43"/>
  </w:num>
  <w:num w:numId="13" w16cid:durableId="570047084">
    <w:abstractNumId w:val="23"/>
  </w:num>
  <w:num w:numId="14" w16cid:durableId="513611605">
    <w:abstractNumId w:val="47"/>
  </w:num>
  <w:num w:numId="15" w16cid:durableId="642589295">
    <w:abstractNumId w:val="44"/>
  </w:num>
  <w:num w:numId="16" w16cid:durableId="1157650935">
    <w:abstractNumId w:val="32"/>
  </w:num>
  <w:num w:numId="17" w16cid:durableId="478500919">
    <w:abstractNumId w:val="30"/>
  </w:num>
  <w:num w:numId="18" w16cid:durableId="1921481351">
    <w:abstractNumId w:val="31"/>
  </w:num>
  <w:num w:numId="19" w16cid:durableId="1928734619">
    <w:abstractNumId w:val="42"/>
  </w:num>
  <w:num w:numId="20" w16cid:durableId="314645982">
    <w:abstractNumId w:val="1"/>
  </w:num>
  <w:num w:numId="21" w16cid:durableId="142815955">
    <w:abstractNumId w:val="35"/>
  </w:num>
  <w:num w:numId="22" w16cid:durableId="2135320553">
    <w:abstractNumId w:val="45"/>
  </w:num>
  <w:num w:numId="23" w16cid:durableId="1620146151">
    <w:abstractNumId w:val="10"/>
  </w:num>
  <w:num w:numId="24" w16cid:durableId="967397272">
    <w:abstractNumId w:val="15"/>
  </w:num>
  <w:num w:numId="25" w16cid:durableId="1251699876">
    <w:abstractNumId w:val="16"/>
  </w:num>
  <w:num w:numId="26" w16cid:durableId="598875592">
    <w:abstractNumId w:val="14"/>
  </w:num>
  <w:num w:numId="27" w16cid:durableId="1005018527">
    <w:abstractNumId w:val="22"/>
  </w:num>
  <w:num w:numId="28" w16cid:durableId="1224441721">
    <w:abstractNumId w:val="4"/>
  </w:num>
  <w:num w:numId="29" w16cid:durableId="1295063151">
    <w:abstractNumId w:val="9"/>
  </w:num>
  <w:num w:numId="30" w16cid:durableId="68357480">
    <w:abstractNumId w:val="2"/>
  </w:num>
  <w:num w:numId="31" w16cid:durableId="1137995514">
    <w:abstractNumId w:val="20"/>
  </w:num>
  <w:num w:numId="32" w16cid:durableId="831410921">
    <w:abstractNumId w:val="48"/>
  </w:num>
  <w:num w:numId="33" w16cid:durableId="621427947">
    <w:abstractNumId w:val="13"/>
  </w:num>
  <w:num w:numId="34" w16cid:durableId="393704600">
    <w:abstractNumId w:val="28"/>
  </w:num>
  <w:num w:numId="35" w16cid:durableId="2134012180">
    <w:abstractNumId w:val="39"/>
  </w:num>
  <w:num w:numId="36" w16cid:durableId="80298391">
    <w:abstractNumId w:val="25"/>
  </w:num>
  <w:num w:numId="37" w16cid:durableId="877476393">
    <w:abstractNumId w:val="5"/>
  </w:num>
  <w:num w:numId="38" w16cid:durableId="711688031">
    <w:abstractNumId w:val="21"/>
  </w:num>
  <w:num w:numId="39" w16cid:durableId="1466509534">
    <w:abstractNumId w:val="8"/>
  </w:num>
  <w:num w:numId="40" w16cid:durableId="1346245477">
    <w:abstractNumId w:val="34"/>
  </w:num>
  <w:num w:numId="41" w16cid:durableId="523903692">
    <w:abstractNumId w:val="11"/>
  </w:num>
  <w:num w:numId="42" w16cid:durableId="1515807549">
    <w:abstractNumId w:val="7"/>
  </w:num>
  <w:num w:numId="43" w16cid:durableId="1937327236">
    <w:abstractNumId w:val="18"/>
  </w:num>
  <w:num w:numId="44" w16cid:durableId="196822020">
    <w:abstractNumId w:val="37"/>
  </w:num>
  <w:num w:numId="45" w16cid:durableId="153375947">
    <w:abstractNumId w:val="26"/>
  </w:num>
  <w:num w:numId="46" w16cid:durableId="1855342564">
    <w:abstractNumId w:val="29"/>
  </w:num>
  <w:num w:numId="47" w16cid:durableId="1735354706">
    <w:abstractNumId w:val="19"/>
  </w:num>
  <w:num w:numId="48" w16cid:durableId="1480342100">
    <w:abstractNumId w:val="41"/>
  </w:num>
  <w:num w:numId="49" w16cid:durableId="987319661">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S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51"/>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3C1B"/>
    <w:rsid w:val="000244BA"/>
    <w:rsid w:val="0002461B"/>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5E5"/>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25"/>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8EB"/>
    <w:rsid w:val="000C49EB"/>
    <w:rsid w:val="000C4BD6"/>
    <w:rsid w:val="000C4D68"/>
    <w:rsid w:val="000C524E"/>
    <w:rsid w:val="000C55AB"/>
    <w:rsid w:val="000C5B63"/>
    <w:rsid w:val="000C6090"/>
    <w:rsid w:val="000C6122"/>
    <w:rsid w:val="000C654D"/>
    <w:rsid w:val="000C7C27"/>
    <w:rsid w:val="000D003E"/>
    <w:rsid w:val="000D0B2B"/>
    <w:rsid w:val="000D0C03"/>
    <w:rsid w:val="000D0D07"/>
    <w:rsid w:val="000D0ED1"/>
    <w:rsid w:val="000D1B93"/>
    <w:rsid w:val="000D1BF8"/>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13E"/>
    <w:rsid w:val="001422A3"/>
    <w:rsid w:val="00142589"/>
    <w:rsid w:val="001428CD"/>
    <w:rsid w:val="00143195"/>
    <w:rsid w:val="0014341A"/>
    <w:rsid w:val="001435B1"/>
    <w:rsid w:val="001438FE"/>
    <w:rsid w:val="001439C5"/>
    <w:rsid w:val="00144052"/>
    <w:rsid w:val="00144645"/>
    <w:rsid w:val="001448A8"/>
    <w:rsid w:val="001448CE"/>
    <w:rsid w:val="00144A48"/>
    <w:rsid w:val="0014513E"/>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D5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482F"/>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7CE"/>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CD0"/>
    <w:rsid w:val="001C7D59"/>
    <w:rsid w:val="001D056D"/>
    <w:rsid w:val="001D0760"/>
    <w:rsid w:val="001D0ADD"/>
    <w:rsid w:val="001D14BE"/>
    <w:rsid w:val="001D14C9"/>
    <w:rsid w:val="001D15A9"/>
    <w:rsid w:val="001D15CB"/>
    <w:rsid w:val="001D1BE2"/>
    <w:rsid w:val="001D2130"/>
    <w:rsid w:val="001D24C8"/>
    <w:rsid w:val="001D2B5F"/>
    <w:rsid w:val="001D2BD0"/>
    <w:rsid w:val="001D3342"/>
    <w:rsid w:val="001D3CFA"/>
    <w:rsid w:val="001D49B3"/>
    <w:rsid w:val="001D519E"/>
    <w:rsid w:val="001D51BA"/>
    <w:rsid w:val="001D53E7"/>
    <w:rsid w:val="001D596D"/>
    <w:rsid w:val="001D5A16"/>
    <w:rsid w:val="001D6342"/>
    <w:rsid w:val="001D6906"/>
    <w:rsid w:val="001D6D53"/>
    <w:rsid w:val="001D6F1C"/>
    <w:rsid w:val="001D7246"/>
    <w:rsid w:val="001D7591"/>
    <w:rsid w:val="001E0017"/>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C8"/>
    <w:rsid w:val="001F662C"/>
    <w:rsid w:val="001F675D"/>
    <w:rsid w:val="001F6B9A"/>
    <w:rsid w:val="001F6FF9"/>
    <w:rsid w:val="001F7074"/>
    <w:rsid w:val="001F7346"/>
    <w:rsid w:val="001F7D71"/>
    <w:rsid w:val="00200490"/>
    <w:rsid w:val="0020052F"/>
    <w:rsid w:val="0020068D"/>
    <w:rsid w:val="002007A2"/>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7E8"/>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3C2"/>
    <w:rsid w:val="00221678"/>
    <w:rsid w:val="00221BDD"/>
    <w:rsid w:val="00221D68"/>
    <w:rsid w:val="00222204"/>
    <w:rsid w:val="0022232E"/>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74B3"/>
    <w:rsid w:val="0024754B"/>
    <w:rsid w:val="00247563"/>
    <w:rsid w:val="00247655"/>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7F4"/>
    <w:rsid w:val="002738F9"/>
    <w:rsid w:val="002739A0"/>
    <w:rsid w:val="00274601"/>
    <w:rsid w:val="002746B5"/>
    <w:rsid w:val="002746F7"/>
    <w:rsid w:val="00274929"/>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2B"/>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7CE"/>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8FC"/>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2933"/>
    <w:rsid w:val="00382BAF"/>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7F"/>
    <w:rsid w:val="003C1173"/>
    <w:rsid w:val="003C11C8"/>
    <w:rsid w:val="003C1575"/>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A0E"/>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5E4"/>
    <w:rsid w:val="003E5765"/>
    <w:rsid w:val="003E5C14"/>
    <w:rsid w:val="003E5D4B"/>
    <w:rsid w:val="003E60A4"/>
    <w:rsid w:val="003E7135"/>
    <w:rsid w:val="003E7339"/>
    <w:rsid w:val="003E74E3"/>
    <w:rsid w:val="003E7625"/>
    <w:rsid w:val="003E7B20"/>
    <w:rsid w:val="003F01CB"/>
    <w:rsid w:val="003F05C7"/>
    <w:rsid w:val="003F05DB"/>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47C"/>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2BF8"/>
    <w:rsid w:val="00433544"/>
    <w:rsid w:val="0043393F"/>
    <w:rsid w:val="00433C2E"/>
    <w:rsid w:val="00433C46"/>
    <w:rsid w:val="0043442E"/>
    <w:rsid w:val="00434B93"/>
    <w:rsid w:val="00434F41"/>
    <w:rsid w:val="00435CE6"/>
    <w:rsid w:val="00435D52"/>
    <w:rsid w:val="00435F91"/>
    <w:rsid w:val="00436596"/>
    <w:rsid w:val="00436600"/>
    <w:rsid w:val="00436CAE"/>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3FE"/>
    <w:rsid w:val="00444664"/>
    <w:rsid w:val="00444CE1"/>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085"/>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23"/>
    <w:rsid w:val="004802B5"/>
    <w:rsid w:val="004803DB"/>
    <w:rsid w:val="00480415"/>
    <w:rsid w:val="0048070E"/>
    <w:rsid w:val="004814F4"/>
    <w:rsid w:val="004818C9"/>
    <w:rsid w:val="00481ADE"/>
    <w:rsid w:val="00481B71"/>
    <w:rsid w:val="0048226A"/>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1C6"/>
    <w:rsid w:val="004C45E5"/>
    <w:rsid w:val="004C4AFB"/>
    <w:rsid w:val="004C4B7D"/>
    <w:rsid w:val="004C4DC6"/>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2AA0"/>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66B"/>
    <w:rsid w:val="004F0B4E"/>
    <w:rsid w:val="004F0B6C"/>
    <w:rsid w:val="004F0C49"/>
    <w:rsid w:val="004F1131"/>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1A0"/>
    <w:rsid w:val="005133E7"/>
    <w:rsid w:val="00513C16"/>
    <w:rsid w:val="00514009"/>
    <w:rsid w:val="00514047"/>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3C06"/>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22"/>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61E"/>
    <w:rsid w:val="0060283C"/>
    <w:rsid w:val="0060294D"/>
    <w:rsid w:val="00602D23"/>
    <w:rsid w:val="00602D75"/>
    <w:rsid w:val="00602FA7"/>
    <w:rsid w:val="00602FE4"/>
    <w:rsid w:val="0060382D"/>
    <w:rsid w:val="0060383E"/>
    <w:rsid w:val="00603EDF"/>
    <w:rsid w:val="00604219"/>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A26"/>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E7B"/>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766"/>
    <w:rsid w:val="00657BD1"/>
    <w:rsid w:val="00657E14"/>
    <w:rsid w:val="00660118"/>
    <w:rsid w:val="0066011D"/>
    <w:rsid w:val="006602BB"/>
    <w:rsid w:val="006607C0"/>
    <w:rsid w:val="006613A6"/>
    <w:rsid w:val="0066149B"/>
    <w:rsid w:val="00661E84"/>
    <w:rsid w:val="00661EE4"/>
    <w:rsid w:val="00661F56"/>
    <w:rsid w:val="006627A2"/>
    <w:rsid w:val="0066294D"/>
    <w:rsid w:val="00662EAC"/>
    <w:rsid w:val="00662ECF"/>
    <w:rsid w:val="006634E6"/>
    <w:rsid w:val="00663A24"/>
    <w:rsid w:val="00663DC5"/>
    <w:rsid w:val="006645D4"/>
    <w:rsid w:val="00664A93"/>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AD6"/>
    <w:rsid w:val="006B7EA7"/>
    <w:rsid w:val="006C00C1"/>
    <w:rsid w:val="006C010F"/>
    <w:rsid w:val="006C03B8"/>
    <w:rsid w:val="006C03D7"/>
    <w:rsid w:val="006C042E"/>
    <w:rsid w:val="006C04A3"/>
    <w:rsid w:val="006C0647"/>
    <w:rsid w:val="006C0C32"/>
    <w:rsid w:val="006C0D88"/>
    <w:rsid w:val="006C1464"/>
    <w:rsid w:val="006C15AE"/>
    <w:rsid w:val="006C1D55"/>
    <w:rsid w:val="006C1E6A"/>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0DB"/>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0CE6"/>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1D1"/>
    <w:rsid w:val="00722417"/>
    <w:rsid w:val="00722573"/>
    <w:rsid w:val="00722696"/>
    <w:rsid w:val="007229C9"/>
    <w:rsid w:val="007229F9"/>
    <w:rsid w:val="00722FAF"/>
    <w:rsid w:val="007231A3"/>
    <w:rsid w:val="0072325D"/>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0B3"/>
    <w:rsid w:val="0073715D"/>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A27"/>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5F66"/>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455"/>
    <w:rsid w:val="0076272F"/>
    <w:rsid w:val="00762860"/>
    <w:rsid w:val="00762883"/>
    <w:rsid w:val="00762A38"/>
    <w:rsid w:val="00762AFD"/>
    <w:rsid w:val="00763E47"/>
    <w:rsid w:val="00763E86"/>
    <w:rsid w:val="007646E5"/>
    <w:rsid w:val="007649BA"/>
    <w:rsid w:val="00764D11"/>
    <w:rsid w:val="00765281"/>
    <w:rsid w:val="00765A33"/>
    <w:rsid w:val="00765F8B"/>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6F3"/>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18B"/>
    <w:rsid w:val="007A3429"/>
    <w:rsid w:val="007A3628"/>
    <w:rsid w:val="007A395F"/>
    <w:rsid w:val="007A3CAC"/>
    <w:rsid w:val="007A410C"/>
    <w:rsid w:val="007A43A6"/>
    <w:rsid w:val="007A455C"/>
    <w:rsid w:val="007A4797"/>
    <w:rsid w:val="007A4AA7"/>
    <w:rsid w:val="007A4DBE"/>
    <w:rsid w:val="007A541A"/>
    <w:rsid w:val="007A5491"/>
    <w:rsid w:val="007A58A6"/>
    <w:rsid w:val="007A5A4D"/>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E03"/>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5AB"/>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0B4"/>
    <w:rsid w:val="00806C0F"/>
    <w:rsid w:val="00806CCD"/>
    <w:rsid w:val="008073F4"/>
    <w:rsid w:val="0080761E"/>
    <w:rsid w:val="00807635"/>
    <w:rsid w:val="00807786"/>
    <w:rsid w:val="00807910"/>
    <w:rsid w:val="0081050A"/>
    <w:rsid w:val="00810777"/>
    <w:rsid w:val="00810A0E"/>
    <w:rsid w:val="00810B93"/>
    <w:rsid w:val="00810E71"/>
    <w:rsid w:val="00811089"/>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B92"/>
    <w:rsid w:val="00837CDB"/>
    <w:rsid w:val="00837CF4"/>
    <w:rsid w:val="008404FD"/>
    <w:rsid w:val="00840599"/>
    <w:rsid w:val="00840647"/>
    <w:rsid w:val="0084086C"/>
    <w:rsid w:val="00841093"/>
    <w:rsid w:val="00841541"/>
    <w:rsid w:val="008416A2"/>
    <w:rsid w:val="00841C4C"/>
    <w:rsid w:val="00841F78"/>
    <w:rsid w:val="008421A8"/>
    <w:rsid w:val="00842938"/>
    <w:rsid w:val="00842BCA"/>
    <w:rsid w:val="00842FFC"/>
    <w:rsid w:val="00843099"/>
    <w:rsid w:val="008434E1"/>
    <w:rsid w:val="00843959"/>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0C6"/>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B7EFE"/>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69D"/>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278"/>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1D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0B5"/>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D70"/>
    <w:rsid w:val="009B1F30"/>
    <w:rsid w:val="009B2537"/>
    <w:rsid w:val="009B25F6"/>
    <w:rsid w:val="009B26CA"/>
    <w:rsid w:val="009B274A"/>
    <w:rsid w:val="009B365B"/>
    <w:rsid w:val="009B38F4"/>
    <w:rsid w:val="009B3AC2"/>
    <w:rsid w:val="009B3EB9"/>
    <w:rsid w:val="009B406E"/>
    <w:rsid w:val="009B44AD"/>
    <w:rsid w:val="009B44B7"/>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6F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C78DC"/>
    <w:rsid w:val="009D0293"/>
    <w:rsid w:val="009D037C"/>
    <w:rsid w:val="009D03C8"/>
    <w:rsid w:val="009D05DA"/>
    <w:rsid w:val="009D0C46"/>
    <w:rsid w:val="009D0FEB"/>
    <w:rsid w:val="009D1513"/>
    <w:rsid w:val="009D1818"/>
    <w:rsid w:val="009D2A46"/>
    <w:rsid w:val="009D48F3"/>
    <w:rsid w:val="009D4919"/>
    <w:rsid w:val="009D4DEC"/>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206"/>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1B4"/>
    <w:rsid w:val="00A3448A"/>
    <w:rsid w:val="00A34CAF"/>
    <w:rsid w:val="00A35731"/>
    <w:rsid w:val="00A359F7"/>
    <w:rsid w:val="00A35C98"/>
    <w:rsid w:val="00A36147"/>
    <w:rsid w:val="00A36297"/>
    <w:rsid w:val="00A368DB"/>
    <w:rsid w:val="00A36CBD"/>
    <w:rsid w:val="00A36F61"/>
    <w:rsid w:val="00A36F75"/>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62F"/>
    <w:rsid w:val="00A807B7"/>
    <w:rsid w:val="00A8085B"/>
    <w:rsid w:val="00A80C04"/>
    <w:rsid w:val="00A80DBC"/>
    <w:rsid w:val="00A80E96"/>
    <w:rsid w:val="00A819FF"/>
    <w:rsid w:val="00A81ADB"/>
    <w:rsid w:val="00A81FDC"/>
    <w:rsid w:val="00A82355"/>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984"/>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97B95"/>
    <w:rsid w:val="00AA016F"/>
    <w:rsid w:val="00AA05A4"/>
    <w:rsid w:val="00AA155B"/>
    <w:rsid w:val="00AA1657"/>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273"/>
    <w:rsid w:val="00AF356A"/>
    <w:rsid w:val="00AF3660"/>
    <w:rsid w:val="00AF388F"/>
    <w:rsid w:val="00AF3B86"/>
    <w:rsid w:val="00AF3CC2"/>
    <w:rsid w:val="00AF42D7"/>
    <w:rsid w:val="00AF43D4"/>
    <w:rsid w:val="00AF44BD"/>
    <w:rsid w:val="00AF469D"/>
    <w:rsid w:val="00AF56F7"/>
    <w:rsid w:val="00AF58D9"/>
    <w:rsid w:val="00AF5D8D"/>
    <w:rsid w:val="00AF5E8F"/>
    <w:rsid w:val="00AF6361"/>
    <w:rsid w:val="00AF6BF9"/>
    <w:rsid w:val="00AF6C40"/>
    <w:rsid w:val="00AF72F9"/>
    <w:rsid w:val="00AF7329"/>
    <w:rsid w:val="00AF7F61"/>
    <w:rsid w:val="00B003C1"/>
    <w:rsid w:val="00B006FE"/>
    <w:rsid w:val="00B007CB"/>
    <w:rsid w:val="00B008F8"/>
    <w:rsid w:val="00B0173F"/>
    <w:rsid w:val="00B01AD7"/>
    <w:rsid w:val="00B01B1B"/>
    <w:rsid w:val="00B01F8D"/>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4B9"/>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981"/>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461"/>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66A1"/>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1B12"/>
    <w:rsid w:val="00C42189"/>
    <w:rsid w:val="00C42384"/>
    <w:rsid w:val="00C42665"/>
    <w:rsid w:val="00C42695"/>
    <w:rsid w:val="00C42862"/>
    <w:rsid w:val="00C42FD7"/>
    <w:rsid w:val="00C4351B"/>
    <w:rsid w:val="00C4389B"/>
    <w:rsid w:val="00C43B5D"/>
    <w:rsid w:val="00C4453C"/>
    <w:rsid w:val="00C44600"/>
    <w:rsid w:val="00C447FD"/>
    <w:rsid w:val="00C452B7"/>
    <w:rsid w:val="00C4533C"/>
    <w:rsid w:val="00C4547A"/>
    <w:rsid w:val="00C45989"/>
    <w:rsid w:val="00C46963"/>
    <w:rsid w:val="00C46B7F"/>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D63"/>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3DC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46F"/>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1BF"/>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A3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AF"/>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07"/>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1CD0"/>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3B9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43A"/>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8AC"/>
    <w:rsid w:val="00DF4E01"/>
    <w:rsid w:val="00DF4FF2"/>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2DD"/>
    <w:rsid w:val="00E23904"/>
    <w:rsid w:val="00E241EE"/>
    <w:rsid w:val="00E244A1"/>
    <w:rsid w:val="00E245EE"/>
    <w:rsid w:val="00E247E9"/>
    <w:rsid w:val="00E25AE6"/>
    <w:rsid w:val="00E25CCF"/>
    <w:rsid w:val="00E26167"/>
    <w:rsid w:val="00E262F2"/>
    <w:rsid w:val="00E26943"/>
    <w:rsid w:val="00E269B1"/>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CEF"/>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030"/>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A62"/>
    <w:rsid w:val="00E76BA3"/>
    <w:rsid w:val="00E76D55"/>
    <w:rsid w:val="00E76EE5"/>
    <w:rsid w:val="00E7745F"/>
    <w:rsid w:val="00E77484"/>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8BD"/>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199"/>
    <w:rsid w:val="00F23336"/>
    <w:rsid w:val="00F236A3"/>
    <w:rsid w:val="00F2376F"/>
    <w:rsid w:val="00F238CA"/>
    <w:rsid w:val="00F23ECF"/>
    <w:rsid w:val="00F243B0"/>
    <w:rsid w:val="00F243D8"/>
    <w:rsid w:val="00F247A7"/>
    <w:rsid w:val="00F249AC"/>
    <w:rsid w:val="00F24C4A"/>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9B"/>
    <w:rsid w:val="00F340F0"/>
    <w:rsid w:val="00F34CF2"/>
    <w:rsid w:val="00F352BA"/>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35"/>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CF"/>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582"/>
    <w:rsid w:val="00FC565F"/>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A04FEF"/>
    <w:rsid w:val="03BDBC84"/>
    <w:rsid w:val="04F8CF6F"/>
    <w:rsid w:val="0AF65CCF"/>
    <w:rsid w:val="0FD71445"/>
    <w:rsid w:val="10613801"/>
    <w:rsid w:val="229ABB1F"/>
    <w:rsid w:val="263BDD6B"/>
    <w:rsid w:val="2786CF9F"/>
    <w:rsid w:val="2827B31E"/>
    <w:rsid w:val="2B985DB2"/>
    <w:rsid w:val="2DD5D81F"/>
    <w:rsid w:val="2DE754A3"/>
    <w:rsid w:val="2F3878CB"/>
    <w:rsid w:val="2F98B499"/>
    <w:rsid w:val="323B7C02"/>
    <w:rsid w:val="47684657"/>
    <w:rsid w:val="4A4D8C6C"/>
    <w:rsid w:val="4CAC3A4D"/>
    <w:rsid w:val="4FC3701A"/>
    <w:rsid w:val="552F6B58"/>
    <w:rsid w:val="5738DBA4"/>
    <w:rsid w:val="5F83D14C"/>
    <w:rsid w:val="61B8CCFB"/>
    <w:rsid w:val="66114992"/>
    <w:rsid w:val="6682CF40"/>
    <w:rsid w:val="6F255528"/>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14513E"/>
    <w:pPr>
      <w:keepNext/>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Specs/archive/38_series/38.101-1/38101-1-i7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0ea90206-ed46-4e94-aaa3-4eb53f2abbf0"/>
    <ds:schemaRef ds:uri="d8762117-8292-4133-b1c7-eab5c6487cfd"/>
    <ds:schemaRef ds:uri="http://schemas.microsoft.com/office/infopath/2007/PartnerControls"/>
    <ds:schemaRef ds:uri="2b894682-84b8-4ad3-8e22-2db2ef8bd5fa"/>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375</TotalTime>
  <Pages>6</Pages>
  <Words>2977</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235</cp:revision>
  <cp:lastPrinted>2008-01-30T22:09:00Z</cp:lastPrinted>
  <dcterms:created xsi:type="dcterms:W3CDTF">2024-09-17T21:10:00Z</dcterms:created>
  <dcterms:modified xsi:type="dcterms:W3CDTF">2024-11-08T14:15:00Z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